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92" w:rsidRPr="001A0575" w:rsidRDefault="00521A5B" w:rsidP="00080392">
      <w:pPr>
        <w:spacing w:before="100" w:beforeAutospacing="1" w:after="100" w:afterAutospacing="1"/>
        <w:rPr>
          <w:rFonts w:eastAsia="Times New Roman"/>
          <w:sz w:val="20"/>
          <w:szCs w:val="20"/>
        </w:rPr>
      </w:pPr>
      <w:r w:rsidRPr="00521A5B">
        <w:rPr>
          <w:rFonts w:eastAsia="Times New Roman"/>
          <w:b/>
          <w:bCs/>
          <w:sz w:val="20"/>
          <w:szCs w:val="20"/>
        </w:rPr>
        <w:t>College/School Name: Yeshiva College</w:t>
      </w:r>
    </w:p>
    <w:p w:rsidR="00080392" w:rsidRPr="001A0575" w:rsidRDefault="00521A5B" w:rsidP="00080392">
      <w:pPr>
        <w:spacing w:before="100" w:beforeAutospacing="1" w:after="100" w:afterAutospacing="1"/>
        <w:rPr>
          <w:rFonts w:eastAsia="Times New Roman"/>
          <w:sz w:val="20"/>
          <w:szCs w:val="20"/>
        </w:rPr>
      </w:pPr>
      <w:r w:rsidRPr="00521A5B">
        <w:rPr>
          <w:rFonts w:eastAsia="Times New Roman"/>
          <w:b/>
          <w:bCs/>
          <w:sz w:val="20"/>
          <w:szCs w:val="20"/>
        </w:rPr>
        <w:t>Department/Program Name: Music Department</w:t>
      </w:r>
    </w:p>
    <w:p w:rsidR="00080392" w:rsidRPr="001A0575" w:rsidRDefault="00521A5B" w:rsidP="00080392">
      <w:pPr>
        <w:spacing w:before="100" w:beforeAutospacing="1" w:after="100" w:afterAutospacing="1"/>
        <w:rPr>
          <w:rFonts w:eastAsia="Times New Roman"/>
          <w:sz w:val="20"/>
          <w:szCs w:val="20"/>
        </w:rPr>
      </w:pPr>
      <w:r w:rsidRPr="00521A5B">
        <w:rPr>
          <w:rFonts w:eastAsia="Times New Roman"/>
          <w:b/>
          <w:bCs/>
          <w:sz w:val="20"/>
          <w:szCs w:val="20"/>
        </w:rPr>
        <w:t xml:space="preserve">Contact Name:  Daniel Beliavsky                                </w:t>
      </w:r>
    </w:p>
    <w:p w:rsidR="00080392" w:rsidRPr="001A0575" w:rsidRDefault="00521A5B" w:rsidP="00080392">
      <w:pPr>
        <w:spacing w:before="100" w:beforeAutospacing="1" w:after="100" w:afterAutospacing="1"/>
        <w:rPr>
          <w:rFonts w:eastAsia="Times New Roman"/>
          <w:sz w:val="20"/>
          <w:szCs w:val="20"/>
        </w:rPr>
      </w:pPr>
      <w:r w:rsidRPr="00521A5B">
        <w:rPr>
          <w:rFonts w:eastAsia="Times New Roman"/>
          <w:b/>
          <w:bCs/>
          <w:sz w:val="20"/>
          <w:szCs w:val="20"/>
        </w:rPr>
        <w:t>Email:  </w:t>
      </w:r>
      <w:hyperlink r:id="rId8" w:history="1">
        <w:r w:rsidRPr="00521A5B">
          <w:rPr>
            <w:rStyle w:val="Hyperlink"/>
            <w:rFonts w:eastAsia="Times New Roman"/>
            <w:b/>
            <w:bCs/>
            <w:sz w:val="20"/>
            <w:szCs w:val="20"/>
          </w:rPr>
          <w:t>Beliavsk@yu.edu</w:t>
        </w:r>
      </w:hyperlink>
      <w:r w:rsidRPr="00521A5B">
        <w:rPr>
          <w:rFonts w:eastAsia="Times New Roman"/>
          <w:b/>
          <w:bCs/>
          <w:sz w:val="20"/>
          <w:szCs w:val="20"/>
        </w:rPr>
        <w:t xml:space="preserve">; </w:t>
      </w:r>
      <w:hyperlink r:id="rId9" w:history="1">
        <w:r w:rsidRPr="00521A5B">
          <w:rPr>
            <w:rStyle w:val="Hyperlink"/>
            <w:rFonts w:eastAsia="Times New Roman"/>
            <w:b/>
            <w:bCs/>
            <w:sz w:val="20"/>
            <w:szCs w:val="20"/>
          </w:rPr>
          <w:t>daniel.beliavsky@gmail.com</w:t>
        </w:r>
      </w:hyperlink>
      <w:r w:rsidRPr="00521A5B">
        <w:rPr>
          <w:rFonts w:eastAsia="Times New Roman"/>
          <w:b/>
          <w:bCs/>
          <w:sz w:val="20"/>
          <w:szCs w:val="20"/>
        </w:rPr>
        <w:t xml:space="preserve">                                   </w:t>
      </w:r>
    </w:p>
    <w:p w:rsidR="00C67CE4" w:rsidRPr="00905A33" w:rsidRDefault="00521A5B" w:rsidP="00905A33">
      <w:pPr>
        <w:spacing w:before="100" w:beforeAutospacing="1" w:after="100" w:afterAutospacing="1"/>
        <w:rPr>
          <w:rFonts w:eastAsia="Times New Roman"/>
          <w:sz w:val="20"/>
          <w:szCs w:val="20"/>
        </w:rPr>
      </w:pPr>
      <w:r w:rsidRPr="00521A5B">
        <w:rPr>
          <w:rFonts w:eastAsia="Times New Roman"/>
          <w:b/>
          <w:bCs/>
          <w:sz w:val="20"/>
          <w:szCs w:val="20"/>
        </w:rPr>
        <w:t>Phone: 917 202-5852</w:t>
      </w:r>
    </w:p>
    <w:p w:rsidR="00AF71DD" w:rsidRPr="001A0575" w:rsidRDefault="00613D0A" w:rsidP="00C67CE4">
      <w:pPr>
        <w:rPr>
          <w:b/>
          <w:sz w:val="20"/>
          <w:szCs w:val="20"/>
        </w:rPr>
      </w:pPr>
      <w:r>
        <w:rPr>
          <w:b/>
          <w:sz w:val="20"/>
          <w:szCs w:val="20"/>
        </w:rPr>
        <w:t>P</w:t>
      </w:r>
      <w:r w:rsidRPr="00521A5B">
        <w:rPr>
          <w:b/>
          <w:sz w:val="20"/>
          <w:szCs w:val="20"/>
        </w:rPr>
        <w:t>rogram</w:t>
      </w:r>
      <w:r w:rsidR="00521A5B" w:rsidRPr="00521A5B">
        <w:rPr>
          <w:b/>
          <w:sz w:val="20"/>
          <w:szCs w:val="20"/>
        </w:rPr>
        <w:t xml:space="preserve"> mission:</w:t>
      </w:r>
    </w:p>
    <w:p w:rsidR="00613D0A" w:rsidRPr="00613D0A" w:rsidRDefault="00613D0A" w:rsidP="00613D0A">
      <w:pPr>
        <w:rPr>
          <w:sz w:val="20"/>
          <w:szCs w:val="20"/>
        </w:rPr>
      </w:pPr>
      <w:r w:rsidRPr="00613D0A">
        <w:rPr>
          <w:sz w:val="20"/>
          <w:szCs w:val="20"/>
        </w:rPr>
        <w:t xml:space="preserve">The mission of the Yeshiva College Music Department is to offer high quality undergraduate major and minor programs concentrating on music theory, history, composition, and performance leading to the Bachelor of Arts degree. These individual tracks may be customized according to the needs and post-collegiate objectives of individual students. To this end, music electives offered in the INTC, COWC, and CUOT categories of the Yeshiva College Core will supplement each of the above specialized areas in order to provide students with opportunities to broaden their understanding of the relevant sociological, cultural, ideological, canonical, and intellectual perspectives in the practical, musicological, and theoretical fields of music. In order to facilitate this student experience, music </w:t>
      </w:r>
      <w:proofErr w:type="gramStart"/>
      <w:r w:rsidRPr="00613D0A">
        <w:rPr>
          <w:sz w:val="20"/>
          <w:szCs w:val="20"/>
        </w:rPr>
        <w:t>faculty are</w:t>
      </w:r>
      <w:proofErr w:type="gramEnd"/>
      <w:r w:rsidRPr="00613D0A">
        <w:rPr>
          <w:sz w:val="20"/>
          <w:szCs w:val="20"/>
        </w:rPr>
        <w:t xml:space="preserve"> expected to maintain active careers in scholarship, composition, and performance according to their professional specializations. </w:t>
      </w:r>
    </w:p>
    <w:p w:rsidR="005071C2" w:rsidRPr="001A0575" w:rsidRDefault="005071C2" w:rsidP="00C67CE4">
      <w:pPr>
        <w:rPr>
          <w:b/>
          <w:sz w:val="20"/>
          <w:szCs w:val="20"/>
        </w:rPr>
      </w:pPr>
    </w:p>
    <w:p w:rsidR="00A8068D" w:rsidRPr="001A0575" w:rsidRDefault="00905A33" w:rsidP="00C67CE4">
      <w:pPr>
        <w:rPr>
          <w:b/>
          <w:sz w:val="20"/>
          <w:szCs w:val="20"/>
        </w:rPr>
      </w:pPr>
      <w:r>
        <w:rPr>
          <w:b/>
          <w:sz w:val="20"/>
          <w:szCs w:val="20"/>
        </w:rPr>
        <w:t>P</w:t>
      </w:r>
      <w:r w:rsidR="00521A5B" w:rsidRPr="00521A5B">
        <w:rPr>
          <w:b/>
          <w:sz w:val="20"/>
          <w:szCs w:val="20"/>
        </w:rPr>
        <w:t>rogram</w:t>
      </w:r>
      <w:r>
        <w:rPr>
          <w:b/>
          <w:sz w:val="20"/>
          <w:szCs w:val="20"/>
        </w:rPr>
        <w:t>’s</w:t>
      </w:r>
      <w:r w:rsidR="00521A5B" w:rsidRPr="00521A5B">
        <w:rPr>
          <w:b/>
          <w:sz w:val="20"/>
          <w:szCs w:val="20"/>
        </w:rPr>
        <w:t xml:space="preserve"> student learning goals:</w:t>
      </w:r>
    </w:p>
    <w:p w:rsidR="00D723C9" w:rsidRPr="001A0575" w:rsidRDefault="00521A5B" w:rsidP="00C67CE4">
      <w:pPr>
        <w:rPr>
          <w:sz w:val="20"/>
          <w:szCs w:val="20"/>
        </w:rPr>
      </w:pPr>
      <w:r w:rsidRPr="00521A5B">
        <w:rPr>
          <w:sz w:val="20"/>
          <w:szCs w:val="20"/>
        </w:rPr>
        <w:t xml:space="preserve">1. Students will be able to know major periods of modern European (starting from the early Baroque period) and contemporary American music history. </w:t>
      </w:r>
    </w:p>
    <w:p w:rsidR="000E6230" w:rsidRPr="001A0575" w:rsidRDefault="00521A5B" w:rsidP="000E6230">
      <w:pPr>
        <w:rPr>
          <w:sz w:val="20"/>
          <w:szCs w:val="20"/>
        </w:rPr>
      </w:pPr>
      <w:r w:rsidRPr="00521A5B">
        <w:rPr>
          <w:sz w:val="20"/>
          <w:szCs w:val="20"/>
        </w:rPr>
        <w:t>2. Students will be able to know varying composers, musical forms, and genres through listening and score study, and communicate insightfully about their contributions and place in history.</w:t>
      </w:r>
    </w:p>
    <w:p w:rsidR="004922F1" w:rsidRPr="001A0575" w:rsidRDefault="00521A5B" w:rsidP="000E6230">
      <w:pPr>
        <w:rPr>
          <w:sz w:val="20"/>
          <w:szCs w:val="20"/>
        </w:rPr>
      </w:pPr>
      <w:r w:rsidRPr="00521A5B">
        <w:rPr>
          <w:sz w:val="20"/>
          <w:szCs w:val="20"/>
        </w:rPr>
        <w:t>3. Students will be able to synthesize their understanding of the pitch organization, form, and the important grammatical-theoretical concepts of pre-tonal, common-practice tonal, and post-tonal music.</w:t>
      </w:r>
    </w:p>
    <w:p w:rsidR="000E6230" w:rsidRPr="001A0575" w:rsidRDefault="00521A5B" w:rsidP="000E6230">
      <w:pPr>
        <w:rPr>
          <w:sz w:val="20"/>
          <w:szCs w:val="20"/>
        </w:rPr>
      </w:pPr>
      <w:r w:rsidRPr="00521A5B">
        <w:rPr>
          <w:sz w:val="20"/>
          <w:szCs w:val="20"/>
        </w:rPr>
        <w:t>4. Students will be able to communicate important historical, analytical, and theoretical concepts in varied musical works.</w:t>
      </w:r>
    </w:p>
    <w:p w:rsidR="000E6230" w:rsidRPr="001A0575" w:rsidRDefault="00521A5B" w:rsidP="000E6230">
      <w:pPr>
        <w:rPr>
          <w:sz w:val="20"/>
          <w:szCs w:val="20"/>
        </w:rPr>
      </w:pPr>
      <w:r w:rsidRPr="00521A5B">
        <w:rPr>
          <w:sz w:val="20"/>
          <w:szCs w:val="20"/>
        </w:rPr>
        <w:t>5. Students will be able to create an analytical framework that supports practical interpretive decisions.</w:t>
      </w:r>
    </w:p>
    <w:p w:rsidR="000E6230" w:rsidRPr="001A0575" w:rsidRDefault="00521A5B" w:rsidP="00CB7B65">
      <w:pPr>
        <w:rPr>
          <w:sz w:val="20"/>
          <w:szCs w:val="20"/>
        </w:rPr>
      </w:pPr>
      <w:r w:rsidRPr="00521A5B">
        <w:rPr>
          <w:sz w:val="20"/>
          <w:szCs w:val="20"/>
        </w:rPr>
        <w:t>6. Students will be able to learn, refine, and demonstrate instrumental proficiency by rehearsing and performing in Chamber, Jazz, and Rock ensembles.</w:t>
      </w:r>
    </w:p>
    <w:p w:rsidR="00D723C9" w:rsidRPr="001A0575" w:rsidRDefault="00D723C9" w:rsidP="00C67CE4">
      <w:pPr>
        <w:rPr>
          <w:sz w:val="20"/>
          <w:szCs w:val="20"/>
        </w:rPr>
      </w:pPr>
    </w:p>
    <w:p w:rsidR="00E00445" w:rsidRPr="001A0575" w:rsidRDefault="00521A5B" w:rsidP="00A83E85">
      <w:pPr>
        <w:rPr>
          <w:sz w:val="20"/>
          <w:szCs w:val="20"/>
        </w:rPr>
      </w:pPr>
      <w:r w:rsidRPr="00521A5B">
        <w:rPr>
          <w:b/>
          <w:i/>
          <w:sz w:val="20"/>
          <w:szCs w:val="20"/>
        </w:rPr>
        <w:t>Directions:</w:t>
      </w:r>
      <w:r w:rsidRPr="00521A5B">
        <w:rPr>
          <w:i/>
          <w:sz w:val="20"/>
          <w:szCs w:val="20"/>
        </w:rPr>
        <w:t xml:space="preserve">  </w:t>
      </w:r>
      <w:r w:rsidRPr="00521A5B">
        <w:rPr>
          <w:sz w:val="20"/>
          <w:szCs w:val="20"/>
        </w:rPr>
        <w:t>Complete the following table</w:t>
      </w:r>
      <w:r w:rsidR="00905A33">
        <w:rPr>
          <w:sz w:val="20"/>
          <w:szCs w:val="20"/>
        </w:rPr>
        <w:t xml:space="preserve"> </w:t>
      </w:r>
      <w:r w:rsidRPr="00521A5B">
        <w:rPr>
          <w:sz w:val="20"/>
          <w:szCs w:val="20"/>
        </w:rPr>
        <w:t xml:space="preserve">by listing each department/program goal in the left column.  For each Program goal list 2-3 objectives in the right column.  Remember that an objective is a specific, measurable, indicator of a learning goal.  </w:t>
      </w:r>
      <w:r w:rsidRPr="00521A5B">
        <w:rPr>
          <w:i/>
          <w:sz w:val="20"/>
          <w:szCs w:val="20"/>
        </w:rPr>
        <w:t>Tip: Use the chart (presented on next page) of action words for specific performance indicators of the various cognitive processes in Bloom’s taxonomy if helpful.</w:t>
      </w:r>
      <w:r w:rsidRPr="00521A5B">
        <w:rPr>
          <w:sz w:val="20"/>
          <w:szCs w:val="20"/>
        </w:rPr>
        <w:t xml:space="preserve">   </w:t>
      </w:r>
    </w:p>
    <w:tbl>
      <w:tblPr>
        <w:tblStyle w:val="TableGrid"/>
        <w:tblW w:w="5000" w:type="pct"/>
        <w:tblLook w:val="04A0"/>
      </w:tblPr>
      <w:tblGrid>
        <w:gridCol w:w="4788"/>
        <w:gridCol w:w="4788"/>
      </w:tblGrid>
      <w:tr w:rsidR="001B71B4" w:rsidRPr="001A0575" w:rsidTr="001B17BE">
        <w:trPr>
          <w:trHeight w:val="305"/>
        </w:trPr>
        <w:tc>
          <w:tcPr>
            <w:tcW w:w="2500" w:type="pct"/>
          </w:tcPr>
          <w:p w:rsidR="001B71B4" w:rsidRPr="001A0575" w:rsidRDefault="00521A5B" w:rsidP="00127E00">
            <w:pPr>
              <w:rPr>
                <w:b/>
                <w:sz w:val="20"/>
                <w:szCs w:val="20"/>
              </w:rPr>
            </w:pPr>
            <w:r w:rsidRPr="00521A5B">
              <w:rPr>
                <w:b/>
                <w:sz w:val="20"/>
                <w:szCs w:val="20"/>
              </w:rPr>
              <w:t>Department/Program Goal</w:t>
            </w:r>
          </w:p>
        </w:tc>
        <w:tc>
          <w:tcPr>
            <w:tcW w:w="2500" w:type="pct"/>
          </w:tcPr>
          <w:p w:rsidR="001B71B4" w:rsidRPr="001A0575" w:rsidRDefault="00521A5B" w:rsidP="00127E00">
            <w:pPr>
              <w:rPr>
                <w:b/>
                <w:sz w:val="20"/>
                <w:szCs w:val="20"/>
              </w:rPr>
            </w:pPr>
            <w:r w:rsidRPr="00521A5B">
              <w:rPr>
                <w:b/>
                <w:sz w:val="20"/>
                <w:szCs w:val="20"/>
              </w:rPr>
              <w:t>Objectives</w:t>
            </w:r>
          </w:p>
        </w:tc>
      </w:tr>
      <w:tr w:rsidR="001B71B4" w:rsidRPr="001A0575" w:rsidTr="00A83E85">
        <w:tc>
          <w:tcPr>
            <w:tcW w:w="2500" w:type="pct"/>
            <w:vMerge w:val="restart"/>
          </w:tcPr>
          <w:p w:rsidR="001B71B4" w:rsidRPr="001A0575" w:rsidRDefault="00521A5B" w:rsidP="00B15C18">
            <w:pPr>
              <w:rPr>
                <w:sz w:val="20"/>
                <w:szCs w:val="20"/>
              </w:rPr>
            </w:pPr>
            <w:r w:rsidRPr="00521A5B">
              <w:rPr>
                <w:sz w:val="20"/>
                <w:szCs w:val="20"/>
              </w:rPr>
              <w:t xml:space="preserve">1. Students will be able to know major periods of modern European (starting from the early Baroque period) and contemporary American music history.   </w:t>
            </w:r>
          </w:p>
        </w:tc>
        <w:tc>
          <w:tcPr>
            <w:tcW w:w="2500" w:type="pct"/>
          </w:tcPr>
          <w:p w:rsidR="001B71B4" w:rsidRPr="001A0575" w:rsidRDefault="00521A5B" w:rsidP="00D30D41">
            <w:pPr>
              <w:rPr>
                <w:sz w:val="20"/>
                <w:szCs w:val="20"/>
              </w:rPr>
            </w:pPr>
            <w:r w:rsidRPr="00521A5B">
              <w:rPr>
                <w:sz w:val="20"/>
                <w:szCs w:val="20"/>
              </w:rPr>
              <w:t xml:space="preserve">a. Students will be able to contextualize important facts, composers, ideologies, and concepts. </w:t>
            </w:r>
          </w:p>
        </w:tc>
      </w:tr>
      <w:tr w:rsidR="00905A33" w:rsidRPr="001A0575" w:rsidTr="008D0DBB">
        <w:trPr>
          <w:trHeight w:val="1382"/>
        </w:trPr>
        <w:tc>
          <w:tcPr>
            <w:tcW w:w="2500" w:type="pct"/>
            <w:vMerge/>
          </w:tcPr>
          <w:p w:rsidR="00905A33" w:rsidRPr="001A0575" w:rsidRDefault="00905A33" w:rsidP="00127E00">
            <w:pPr>
              <w:rPr>
                <w:sz w:val="20"/>
                <w:szCs w:val="20"/>
              </w:rPr>
            </w:pPr>
          </w:p>
        </w:tc>
        <w:tc>
          <w:tcPr>
            <w:tcW w:w="2500" w:type="pct"/>
          </w:tcPr>
          <w:p w:rsidR="00905A33" w:rsidRPr="001A0575" w:rsidRDefault="00905A33" w:rsidP="00B15C18">
            <w:pPr>
              <w:rPr>
                <w:sz w:val="20"/>
                <w:szCs w:val="20"/>
              </w:rPr>
            </w:pPr>
            <w:r w:rsidRPr="00521A5B">
              <w:rPr>
                <w:sz w:val="20"/>
                <w:szCs w:val="20"/>
              </w:rPr>
              <w:t xml:space="preserve">b. Students will be able to critique the traditional canon by distinguishing among various ideologies, philosophies, performance practices, and theories. </w:t>
            </w:r>
          </w:p>
          <w:p w:rsidR="00905A33" w:rsidRPr="001A0575" w:rsidRDefault="00905A33" w:rsidP="00B15C18">
            <w:pPr>
              <w:rPr>
                <w:sz w:val="20"/>
                <w:szCs w:val="20"/>
              </w:rPr>
            </w:pPr>
          </w:p>
        </w:tc>
      </w:tr>
      <w:tr w:rsidR="001B71B4" w:rsidRPr="001A0575" w:rsidTr="00A83E85">
        <w:tc>
          <w:tcPr>
            <w:tcW w:w="2500" w:type="pct"/>
            <w:vMerge w:val="restart"/>
          </w:tcPr>
          <w:p w:rsidR="001B71B4" w:rsidRPr="001A0575" w:rsidRDefault="00521A5B" w:rsidP="00B15C18">
            <w:pPr>
              <w:rPr>
                <w:sz w:val="20"/>
                <w:szCs w:val="20"/>
              </w:rPr>
            </w:pPr>
            <w:r w:rsidRPr="00521A5B">
              <w:rPr>
                <w:sz w:val="20"/>
                <w:szCs w:val="20"/>
              </w:rPr>
              <w:t>2. Students will be able to synthesize their understanding of the pitch organization, form, and the important grammatical-theoretical concepts of pre-tonal, common-practice tonal, and post-tonal music.</w:t>
            </w:r>
          </w:p>
        </w:tc>
        <w:tc>
          <w:tcPr>
            <w:tcW w:w="2500" w:type="pct"/>
          </w:tcPr>
          <w:p w:rsidR="001B71B4" w:rsidRPr="001A0575" w:rsidRDefault="00521A5B" w:rsidP="00B15C18">
            <w:pPr>
              <w:rPr>
                <w:sz w:val="20"/>
                <w:szCs w:val="20"/>
              </w:rPr>
            </w:pPr>
            <w:r w:rsidRPr="00521A5B">
              <w:rPr>
                <w:sz w:val="20"/>
                <w:szCs w:val="20"/>
              </w:rPr>
              <w:t>a. Students will be able to apply various classical, contemporary, avant-garde, and electronic idioms to their musical works.</w:t>
            </w:r>
          </w:p>
        </w:tc>
      </w:tr>
      <w:tr w:rsidR="001B71B4" w:rsidRPr="001A0575" w:rsidTr="00A83E85">
        <w:tc>
          <w:tcPr>
            <w:tcW w:w="2500" w:type="pct"/>
            <w:vMerge/>
          </w:tcPr>
          <w:p w:rsidR="001B71B4" w:rsidRPr="001A0575" w:rsidRDefault="001B71B4" w:rsidP="00127E00">
            <w:pPr>
              <w:rPr>
                <w:sz w:val="20"/>
                <w:szCs w:val="20"/>
              </w:rPr>
            </w:pPr>
          </w:p>
        </w:tc>
        <w:tc>
          <w:tcPr>
            <w:tcW w:w="2500" w:type="pct"/>
          </w:tcPr>
          <w:p w:rsidR="001B71B4" w:rsidRPr="001A0575" w:rsidRDefault="00521A5B" w:rsidP="00B15C18">
            <w:pPr>
              <w:rPr>
                <w:sz w:val="20"/>
                <w:szCs w:val="20"/>
              </w:rPr>
            </w:pPr>
            <w:r w:rsidRPr="00521A5B">
              <w:rPr>
                <w:sz w:val="20"/>
                <w:szCs w:val="20"/>
              </w:rPr>
              <w:t xml:space="preserve">b. Students will be able apply the grammar and ideological theories of Western music through a sequence of core courses in Diatonic and Chromatic harmony and Species Counterpoint, and through </w:t>
            </w:r>
            <w:r w:rsidRPr="00521A5B">
              <w:rPr>
                <w:sz w:val="20"/>
                <w:szCs w:val="20"/>
              </w:rPr>
              <w:lastRenderedPageBreak/>
              <w:t>electives in specialized areas of music theory such as Renaissance Counterpoint and Post-Tonal analysis.</w:t>
            </w:r>
          </w:p>
        </w:tc>
      </w:tr>
      <w:tr w:rsidR="001B71B4" w:rsidRPr="001A0575" w:rsidTr="00A83E85">
        <w:tc>
          <w:tcPr>
            <w:tcW w:w="2500" w:type="pct"/>
            <w:vMerge/>
          </w:tcPr>
          <w:p w:rsidR="001B71B4" w:rsidRPr="001A0575" w:rsidRDefault="001B71B4" w:rsidP="00127E00">
            <w:pPr>
              <w:rPr>
                <w:sz w:val="20"/>
                <w:szCs w:val="20"/>
              </w:rPr>
            </w:pPr>
          </w:p>
        </w:tc>
        <w:tc>
          <w:tcPr>
            <w:tcW w:w="2500" w:type="pct"/>
          </w:tcPr>
          <w:p w:rsidR="00487559" w:rsidRPr="001A0575" w:rsidRDefault="00521A5B" w:rsidP="00B15C18">
            <w:pPr>
              <w:rPr>
                <w:sz w:val="20"/>
                <w:szCs w:val="20"/>
              </w:rPr>
            </w:pPr>
            <w:r w:rsidRPr="00521A5B">
              <w:rPr>
                <w:sz w:val="20"/>
                <w:szCs w:val="20"/>
              </w:rPr>
              <w:t>c. Students will be able to formally and harmonically analyze vocal and instrumental works such as cantatas, operas, and sonatas.</w:t>
            </w:r>
          </w:p>
          <w:p w:rsidR="00487559" w:rsidRPr="001A0575" w:rsidRDefault="00521A5B" w:rsidP="00B15C18">
            <w:pPr>
              <w:rPr>
                <w:sz w:val="20"/>
                <w:szCs w:val="20"/>
              </w:rPr>
            </w:pPr>
            <w:r w:rsidRPr="00521A5B">
              <w:rPr>
                <w:sz w:val="20"/>
                <w:szCs w:val="20"/>
              </w:rPr>
              <w:t xml:space="preserve">d. </w:t>
            </w:r>
            <w:r w:rsidRPr="00521A5B">
              <w:rPr>
                <w:rFonts w:eastAsia="Times New Roman"/>
                <w:color w:val="000000"/>
                <w:sz w:val="20"/>
                <w:szCs w:val="20"/>
                <w:shd w:val="clear" w:color="auto" w:fill="FFFFFF"/>
              </w:rPr>
              <w:t>Students will be able to execute analyses using Roman numeral and figured bass identification and the basic concepts of layered structural analysis.</w:t>
            </w:r>
            <w:r w:rsidRPr="00521A5B">
              <w:rPr>
                <w:sz w:val="20"/>
                <w:szCs w:val="20"/>
              </w:rPr>
              <w:t xml:space="preserve"> </w:t>
            </w:r>
          </w:p>
          <w:p w:rsidR="001B71B4" w:rsidRPr="001A0575" w:rsidRDefault="00521A5B" w:rsidP="00B15C18">
            <w:pPr>
              <w:rPr>
                <w:sz w:val="20"/>
                <w:szCs w:val="20"/>
              </w:rPr>
            </w:pPr>
            <w:r w:rsidRPr="00521A5B">
              <w:rPr>
                <w:sz w:val="20"/>
                <w:szCs w:val="20"/>
              </w:rPr>
              <w:t xml:space="preserve">e. Students will be able to compose musical works modeled after procedures and forms analyzed in theory classes. </w:t>
            </w:r>
          </w:p>
        </w:tc>
      </w:tr>
      <w:tr w:rsidR="001B71B4" w:rsidRPr="001A0575" w:rsidTr="00A83E85">
        <w:tc>
          <w:tcPr>
            <w:tcW w:w="2500" w:type="pct"/>
            <w:vMerge w:val="restart"/>
          </w:tcPr>
          <w:p w:rsidR="001B71B4" w:rsidRPr="001A0575" w:rsidRDefault="00521A5B" w:rsidP="00817493">
            <w:pPr>
              <w:rPr>
                <w:sz w:val="20"/>
                <w:szCs w:val="20"/>
              </w:rPr>
            </w:pPr>
            <w:r w:rsidRPr="00521A5B">
              <w:rPr>
                <w:sz w:val="20"/>
                <w:szCs w:val="20"/>
              </w:rPr>
              <w:t>3. Students will be able to learn, refine, and demonstrate instrumental proficiency by rehearsing and performing in Chamber, Jazz, and Rock ensembles.</w:t>
            </w:r>
          </w:p>
        </w:tc>
        <w:tc>
          <w:tcPr>
            <w:tcW w:w="2500" w:type="pct"/>
          </w:tcPr>
          <w:p w:rsidR="001B71B4" w:rsidRPr="001A0575" w:rsidRDefault="00521A5B" w:rsidP="00127E00">
            <w:pPr>
              <w:rPr>
                <w:sz w:val="20"/>
                <w:szCs w:val="20"/>
              </w:rPr>
            </w:pPr>
            <w:r w:rsidRPr="00521A5B">
              <w:rPr>
                <w:sz w:val="20"/>
                <w:szCs w:val="20"/>
              </w:rPr>
              <w:t>a. Students will be able to perform original or extant compositions as part of a capstone project presented at the conclusion of their major just before graduation.</w:t>
            </w:r>
          </w:p>
        </w:tc>
      </w:tr>
      <w:tr w:rsidR="00905A33" w:rsidRPr="001A0575" w:rsidTr="00F1586B">
        <w:trPr>
          <w:trHeight w:val="700"/>
        </w:trPr>
        <w:tc>
          <w:tcPr>
            <w:tcW w:w="2500" w:type="pct"/>
            <w:vMerge/>
          </w:tcPr>
          <w:p w:rsidR="00905A33" w:rsidRPr="001A0575" w:rsidRDefault="00905A33" w:rsidP="00127E00">
            <w:pPr>
              <w:rPr>
                <w:sz w:val="20"/>
                <w:szCs w:val="20"/>
              </w:rPr>
            </w:pPr>
          </w:p>
        </w:tc>
        <w:tc>
          <w:tcPr>
            <w:tcW w:w="2500" w:type="pct"/>
          </w:tcPr>
          <w:p w:rsidR="00905A33" w:rsidRPr="001A0575" w:rsidRDefault="00905A33" w:rsidP="009B4205">
            <w:pPr>
              <w:rPr>
                <w:sz w:val="20"/>
                <w:szCs w:val="20"/>
              </w:rPr>
            </w:pPr>
            <w:r w:rsidRPr="00521A5B">
              <w:rPr>
                <w:sz w:val="20"/>
                <w:szCs w:val="20"/>
              </w:rPr>
              <w:t xml:space="preserve">b. Students will be able to demonstrate basic proficiency on a keyboard instrument.  </w:t>
            </w:r>
          </w:p>
          <w:p w:rsidR="00905A33" w:rsidRPr="001A0575" w:rsidRDefault="00905A33" w:rsidP="00B15C18">
            <w:pPr>
              <w:rPr>
                <w:sz w:val="20"/>
                <w:szCs w:val="20"/>
              </w:rPr>
            </w:pPr>
            <w:r w:rsidRPr="00521A5B">
              <w:rPr>
                <w:sz w:val="20"/>
                <w:szCs w:val="20"/>
              </w:rPr>
              <w:t xml:space="preserve">c. </w:t>
            </w:r>
          </w:p>
        </w:tc>
      </w:tr>
    </w:tbl>
    <w:p w:rsidR="001B71B4" w:rsidRPr="001A0575" w:rsidRDefault="001B71B4" w:rsidP="001B71B4">
      <w:pPr>
        <w:rPr>
          <w:sz w:val="20"/>
          <w:szCs w:val="20"/>
        </w:rPr>
      </w:pPr>
    </w:p>
    <w:p w:rsidR="001B71B4" w:rsidRPr="001A0575" w:rsidRDefault="001B71B4" w:rsidP="001B71B4">
      <w:pPr>
        <w:rPr>
          <w:sz w:val="20"/>
          <w:szCs w:val="20"/>
        </w:rPr>
      </w:pPr>
    </w:p>
    <w:p w:rsidR="00A83E85" w:rsidRDefault="00A83E85" w:rsidP="00080392">
      <w:pPr>
        <w:ind w:left="720"/>
        <w:rPr>
          <w:sz w:val="20"/>
          <w:szCs w:val="20"/>
        </w:rPr>
      </w:pPr>
    </w:p>
    <w:p w:rsidR="00905A33" w:rsidRPr="001A0575" w:rsidRDefault="00905A33" w:rsidP="00080392">
      <w:pPr>
        <w:ind w:left="720"/>
        <w:rPr>
          <w:sz w:val="20"/>
          <w:szCs w:val="20"/>
        </w:rPr>
      </w:pPr>
    </w:p>
    <w:tbl>
      <w:tblPr>
        <w:tblStyle w:val="TableGrid"/>
        <w:tblpPr w:leftFromText="180" w:rightFromText="180" w:vertAnchor="text" w:horzAnchor="margin" w:tblpXSpec="center" w:tblpY="-1222"/>
        <w:tblW w:w="10273" w:type="dxa"/>
        <w:tblLayout w:type="fixed"/>
        <w:tblLook w:val="04A0"/>
      </w:tblPr>
      <w:tblGrid>
        <w:gridCol w:w="1496"/>
        <w:gridCol w:w="877"/>
        <w:gridCol w:w="878"/>
        <w:gridCol w:w="878"/>
        <w:gridCol w:w="877"/>
        <w:gridCol w:w="878"/>
        <w:gridCol w:w="878"/>
        <w:gridCol w:w="877"/>
        <w:gridCol w:w="878"/>
        <w:gridCol w:w="878"/>
        <w:gridCol w:w="878"/>
      </w:tblGrid>
      <w:tr w:rsidR="006E699F" w:rsidRPr="001A0575" w:rsidTr="00905A33">
        <w:tc>
          <w:tcPr>
            <w:tcW w:w="1496" w:type="dxa"/>
            <w:vMerge w:val="restart"/>
            <w:hideMark/>
          </w:tcPr>
          <w:p w:rsidR="00905A33" w:rsidRDefault="00905A33" w:rsidP="00905A33">
            <w:pPr>
              <w:autoSpaceDE w:val="0"/>
              <w:autoSpaceDN w:val="0"/>
              <w:adjustRightInd w:val="0"/>
              <w:spacing w:before="11" w:line="260" w:lineRule="exact"/>
              <w:jc w:val="center"/>
              <w:rPr>
                <w:rFonts w:ascii="Calibri" w:hAnsi="Calibri" w:cs="Calibri"/>
                <w:sz w:val="20"/>
                <w:szCs w:val="20"/>
              </w:rPr>
            </w:pPr>
          </w:p>
          <w:p w:rsidR="006E699F" w:rsidRPr="001A0575" w:rsidRDefault="00521A5B" w:rsidP="00905A33">
            <w:pPr>
              <w:autoSpaceDE w:val="0"/>
              <w:autoSpaceDN w:val="0"/>
              <w:adjustRightInd w:val="0"/>
              <w:spacing w:before="11" w:line="260" w:lineRule="exact"/>
              <w:jc w:val="center"/>
              <w:rPr>
                <w:rFonts w:ascii="Calibri" w:hAnsi="Calibri" w:cs="Calibri"/>
                <w:sz w:val="20"/>
                <w:szCs w:val="20"/>
              </w:rPr>
            </w:pPr>
            <w:r w:rsidRPr="00521A5B">
              <w:rPr>
                <w:rFonts w:ascii="Calibri" w:hAnsi="Calibri" w:cs="Calibri"/>
                <w:sz w:val="20"/>
                <w:szCs w:val="20"/>
              </w:rPr>
              <w:t>Learning objectives/outcomes</w:t>
            </w:r>
          </w:p>
          <w:p w:rsidR="006E699F" w:rsidRPr="001A0575" w:rsidRDefault="006E699F" w:rsidP="00905A33">
            <w:pPr>
              <w:autoSpaceDE w:val="0"/>
              <w:autoSpaceDN w:val="0"/>
              <w:adjustRightInd w:val="0"/>
              <w:spacing w:before="11" w:line="260" w:lineRule="exact"/>
              <w:jc w:val="center"/>
              <w:rPr>
                <w:rFonts w:ascii="Calibri" w:hAnsi="Calibri" w:cs="Calibri"/>
                <w:sz w:val="20"/>
                <w:szCs w:val="20"/>
              </w:rPr>
            </w:pPr>
          </w:p>
          <w:tbl>
            <w:tblPr>
              <w:tblW w:w="0" w:type="auto"/>
              <w:tblBorders>
                <w:top w:val="nil"/>
                <w:left w:val="nil"/>
                <w:bottom w:val="nil"/>
                <w:right w:val="nil"/>
              </w:tblBorders>
              <w:tblLayout w:type="fixed"/>
              <w:tblLook w:val="0000"/>
            </w:tblPr>
            <w:tblGrid>
              <w:gridCol w:w="236"/>
            </w:tblGrid>
            <w:tr w:rsidR="006E699F" w:rsidRPr="001A0575" w:rsidTr="000E3471">
              <w:trPr>
                <w:trHeight w:val="138"/>
              </w:trPr>
              <w:tc>
                <w:tcPr>
                  <w:tcW w:w="222" w:type="dxa"/>
                </w:tcPr>
                <w:p w:rsidR="006E699F" w:rsidRPr="001A0575" w:rsidRDefault="00521A5B" w:rsidP="00905A33">
                  <w:pPr>
                    <w:framePr w:hSpace="180" w:wrap="around" w:vAnchor="text" w:hAnchor="margin" w:xAlign="center" w:y="-1222"/>
                    <w:autoSpaceDE w:val="0"/>
                    <w:autoSpaceDN w:val="0"/>
                    <w:adjustRightInd w:val="0"/>
                    <w:spacing w:before="11" w:line="260" w:lineRule="exact"/>
                    <w:jc w:val="center"/>
                    <w:rPr>
                      <w:rFonts w:ascii="Calibri" w:hAnsi="Calibri" w:cs="Calibri"/>
                      <w:sz w:val="20"/>
                      <w:szCs w:val="20"/>
                    </w:rPr>
                  </w:pPr>
                  <w:r w:rsidRPr="00521A5B">
                    <w:rPr>
                      <w:rFonts w:ascii="Calibri" w:hAnsi="Calibri" w:cs="Calibri"/>
                      <w:sz w:val="20"/>
                      <w:szCs w:val="20"/>
                    </w:rPr>
                    <w:t xml:space="preserve"> </w:t>
                  </w:r>
                </w:p>
              </w:tc>
            </w:tr>
          </w:tbl>
          <w:p w:rsidR="006E699F" w:rsidRPr="001A0575" w:rsidRDefault="006E699F" w:rsidP="00905A33">
            <w:pPr>
              <w:autoSpaceDE w:val="0"/>
              <w:autoSpaceDN w:val="0"/>
              <w:adjustRightInd w:val="0"/>
              <w:spacing w:before="11" w:line="260" w:lineRule="exact"/>
              <w:jc w:val="center"/>
              <w:rPr>
                <w:rFonts w:ascii="Calibri" w:hAnsi="Calibri" w:cs="Calibri"/>
                <w:sz w:val="20"/>
                <w:szCs w:val="20"/>
              </w:rPr>
            </w:pPr>
          </w:p>
          <w:tbl>
            <w:tblPr>
              <w:tblW w:w="0" w:type="auto"/>
              <w:tblBorders>
                <w:top w:val="nil"/>
                <w:left w:val="nil"/>
                <w:bottom w:val="nil"/>
                <w:right w:val="nil"/>
              </w:tblBorders>
              <w:tblLayout w:type="fixed"/>
              <w:tblLook w:val="0000"/>
            </w:tblPr>
            <w:tblGrid>
              <w:gridCol w:w="236"/>
            </w:tblGrid>
            <w:tr w:rsidR="006E699F" w:rsidRPr="001A0575" w:rsidTr="000E3471">
              <w:trPr>
                <w:trHeight w:val="138"/>
              </w:trPr>
              <w:tc>
                <w:tcPr>
                  <w:tcW w:w="222" w:type="dxa"/>
                </w:tcPr>
                <w:p w:rsidR="006E699F" w:rsidRPr="001A0575" w:rsidRDefault="00521A5B" w:rsidP="00905A33">
                  <w:pPr>
                    <w:framePr w:hSpace="180" w:wrap="around" w:vAnchor="text" w:hAnchor="margin" w:xAlign="center" w:y="-1222"/>
                    <w:autoSpaceDE w:val="0"/>
                    <w:autoSpaceDN w:val="0"/>
                    <w:adjustRightInd w:val="0"/>
                    <w:spacing w:before="11" w:line="260" w:lineRule="exact"/>
                    <w:jc w:val="center"/>
                    <w:rPr>
                      <w:rFonts w:ascii="Calibri" w:hAnsi="Calibri" w:cs="Calibri"/>
                      <w:sz w:val="20"/>
                      <w:szCs w:val="20"/>
                    </w:rPr>
                  </w:pPr>
                  <w:r w:rsidRPr="00521A5B">
                    <w:rPr>
                      <w:rFonts w:ascii="Calibri" w:hAnsi="Calibri" w:cs="Calibri"/>
                      <w:sz w:val="20"/>
                      <w:szCs w:val="20"/>
                    </w:rPr>
                    <w:t xml:space="preserve"> </w:t>
                  </w:r>
                </w:p>
              </w:tc>
            </w:tr>
          </w:tbl>
          <w:p w:rsidR="006E699F" w:rsidRPr="001A0575" w:rsidRDefault="006E699F" w:rsidP="00905A33">
            <w:pPr>
              <w:autoSpaceDE w:val="0"/>
              <w:autoSpaceDN w:val="0"/>
              <w:adjustRightInd w:val="0"/>
              <w:spacing w:before="11" w:line="260" w:lineRule="exact"/>
              <w:jc w:val="center"/>
              <w:rPr>
                <w:rFonts w:ascii="Calibri" w:hAnsi="Calibri" w:cs="Calibri"/>
                <w:sz w:val="20"/>
                <w:szCs w:val="20"/>
              </w:rPr>
            </w:pPr>
          </w:p>
        </w:tc>
        <w:tc>
          <w:tcPr>
            <w:tcW w:w="8777" w:type="dxa"/>
            <w:gridSpan w:val="10"/>
            <w:hideMark/>
          </w:tcPr>
          <w:p w:rsidR="006E699F" w:rsidRPr="001A0575" w:rsidRDefault="00521A5B" w:rsidP="00905A33">
            <w:pPr>
              <w:autoSpaceDE w:val="0"/>
              <w:autoSpaceDN w:val="0"/>
              <w:adjustRightInd w:val="0"/>
              <w:spacing w:before="11" w:line="260" w:lineRule="exact"/>
              <w:jc w:val="center"/>
              <w:rPr>
                <w:rFonts w:ascii="Calibri" w:hAnsi="Calibri" w:cs="Calibri"/>
                <w:sz w:val="20"/>
                <w:szCs w:val="20"/>
              </w:rPr>
            </w:pPr>
            <w:r w:rsidRPr="00521A5B">
              <w:rPr>
                <w:rFonts w:ascii="Calibri" w:hAnsi="Calibri" w:cs="Calibri"/>
                <w:sz w:val="20"/>
                <w:szCs w:val="20"/>
              </w:rPr>
              <w:t>Required Courses/Experiences</w:t>
            </w:r>
          </w:p>
        </w:tc>
      </w:tr>
      <w:tr w:rsidR="001A0575" w:rsidRPr="001A0575" w:rsidTr="00905A33">
        <w:trPr>
          <w:trHeight w:val="1331"/>
        </w:trPr>
        <w:tc>
          <w:tcPr>
            <w:tcW w:w="1496" w:type="dxa"/>
            <w:vMerge/>
            <w:hideMark/>
          </w:tcPr>
          <w:p w:rsidR="006E699F" w:rsidRPr="001A0575" w:rsidRDefault="006E699F" w:rsidP="00905A33">
            <w:pPr>
              <w:rPr>
                <w:rFonts w:ascii="Arial" w:eastAsia="Times New Roman" w:hAnsi="Arial" w:cs="Arial"/>
                <w:b/>
                <w:bCs/>
                <w:sz w:val="20"/>
                <w:szCs w:val="20"/>
              </w:rPr>
            </w:pPr>
          </w:p>
        </w:tc>
        <w:tc>
          <w:tcPr>
            <w:tcW w:w="877" w:type="dxa"/>
          </w:tcPr>
          <w:p w:rsidR="006E699F" w:rsidRPr="001A0575" w:rsidRDefault="00521A5B" w:rsidP="00905A33">
            <w:pPr>
              <w:jc w:val="center"/>
              <w:rPr>
                <w:rFonts w:eastAsia="Times New Roman"/>
                <w:bCs/>
                <w:sz w:val="20"/>
                <w:szCs w:val="20"/>
              </w:rPr>
            </w:pPr>
            <w:r w:rsidRPr="00521A5B">
              <w:rPr>
                <w:rFonts w:eastAsia="Times New Roman"/>
                <w:bCs/>
                <w:sz w:val="20"/>
                <w:szCs w:val="20"/>
              </w:rPr>
              <w:t>2105 Fundamentals</w:t>
            </w:r>
          </w:p>
        </w:tc>
        <w:tc>
          <w:tcPr>
            <w:tcW w:w="878" w:type="dxa"/>
          </w:tcPr>
          <w:p w:rsidR="006E699F" w:rsidRPr="001A0575" w:rsidRDefault="00521A5B" w:rsidP="00905A33">
            <w:pPr>
              <w:jc w:val="center"/>
              <w:rPr>
                <w:rFonts w:eastAsia="Times New Roman"/>
                <w:bCs/>
                <w:sz w:val="20"/>
                <w:szCs w:val="20"/>
              </w:rPr>
            </w:pPr>
            <w:r w:rsidRPr="00521A5B">
              <w:rPr>
                <w:rFonts w:eastAsia="Times New Roman"/>
                <w:bCs/>
                <w:sz w:val="20"/>
                <w:szCs w:val="20"/>
              </w:rPr>
              <w:t>2111-2114 Theory</w:t>
            </w:r>
          </w:p>
        </w:tc>
        <w:tc>
          <w:tcPr>
            <w:tcW w:w="878" w:type="dxa"/>
          </w:tcPr>
          <w:p w:rsidR="00EF199E" w:rsidRPr="001A0575" w:rsidRDefault="00521A5B" w:rsidP="00905A33">
            <w:pPr>
              <w:jc w:val="center"/>
              <w:rPr>
                <w:rFonts w:eastAsia="Times New Roman"/>
                <w:bCs/>
                <w:sz w:val="20"/>
                <w:szCs w:val="20"/>
              </w:rPr>
            </w:pPr>
            <w:r w:rsidRPr="00521A5B">
              <w:rPr>
                <w:rFonts w:eastAsia="Times New Roman"/>
                <w:bCs/>
                <w:sz w:val="20"/>
                <w:szCs w:val="20"/>
              </w:rPr>
              <w:t>2111L-2114L</w:t>
            </w:r>
          </w:p>
          <w:p w:rsidR="006E699F" w:rsidRPr="001A0575" w:rsidRDefault="00521A5B" w:rsidP="00905A33">
            <w:pPr>
              <w:jc w:val="center"/>
              <w:rPr>
                <w:rFonts w:eastAsia="Times New Roman"/>
                <w:bCs/>
                <w:sz w:val="20"/>
                <w:szCs w:val="20"/>
              </w:rPr>
            </w:pPr>
            <w:r w:rsidRPr="00521A5B">
              <w:rPr>
                <w:rFonts w:eastAsia="Times New Roman"/>
                <w:bCs/>
                <w:sz w:val="20"/>
                <w:szCs w:val="20"/>
              </w:rPr>
              <w:t>Ear Training</w:t>
            </w:r>
          </w:p>
        </w:tc>
        <w:tc>
          <w:tcPr>
            <w:tcW w:w="877" w:type="dxa"/>
          </w:tcPr>
          <w:p w:rsidR="006E699F" w:rsidRPr="001A0575" w:rsidRDefault="00521A5B" w:rsidP="00905A33">
            <w:pPr>
              <w:jc w:val="center"/>
              <w:rPr>
                <w:rFonts w:eastAsia="Times New Roman"/>
                <w:bCs/>
                <w:sz w:val="20"/>
                <w:szCs w:val="20"/>
              </w:rPr>
            </w:pPr>
            <w:r w:rsidRPr="00521A5B">
              <w:rPr>
                <w:rFonts w:eastAsia="Times New Roman"/>
                <w:bCs/>
                <w:sz w:val="20"/>
                <w:szCs w:val="20"/>
              </w:rPr>
              <w:t>1350-1351 European History</w:t>
            </w:r>
          </w:p>
        </w:tc>
        <w:tc>
          <w:tcPr>
            <w:tcW w:w="878" w:type="dxa"/>
          </w:tcPr>
          <w:p w:rsidR="006E699F" w:rsidRPr="001A0575" w:rsidRDefault="00521A5B" w:rsidP="00905A33">
            <w:pPr>
              <w:jc w:val="center"/>
              <w:rPr>
                <w:rFonts w:eastAsia="Times New Roman"/>
                <w:bCs/>
                <w:sz w:val="20"/>
                <w:szCs w:val="20"/>
              </w:rPr>
            </w:pPr>
            <w:r w:rsidRPr="00521A5B">
              <w:rPr>
                <w:rFonts w:eastAsia="Times New Roman"/>
                <w:bCs/>
                <w:sz w:val="20"/>
                <w:szCs w:val="20"/>
              </w:rPr>
              <w:t>1013 Music and the World Wars</w:t>
            </w:r>
          </w:p>
        </w:tc>
        <w:tc>
          <w:tcPr>
            <w:tcW w:w="878" w:type="dxa"/>
          </w:tcPr>
          <w:p w:rsidR="006E699F" w:rsidRPr="001A0575" w:rsidRDefault="00521A5B" w:rsidP="00905A33">
            <w:pPr>
              <w:jc w:val="center"/>
              <w:rPr>
                <w:rFonts w:eastAsia="Times New Roman"/>
                <w:bCs/>
                <w:sz w:val="20"/>
                <w:szCs w:val="20"/>
              </w:rPr>
            </w:pPr>
            <w:r w:rsidRPr="00521A5B">
              <w:rPr>
                <w:rFonts w:eastAsia="Times New Roman"/>
                <w:bCs/>
                <w:sz w:val="20"/>
                <w:szCs w:val="20"/>
              </w:rPr>
              <w:t>1014 American Musical Cultures</w:t>
            </w:r>
          </w:p>
        </w:tc>
        <w:tc>
          <w:tcPr>
            <w:tcW w:w="877" w:type="dxa"/>
          </w:tcPr>
          <w:p w:rsidR="006E699F" w:rsidRPr="001A0575" w:rsidRDefault="00521A5B" w:rsidP="00905A33">
            <w:pPr>
              <w:autoSpaceDE w:val="0"/>
              <w:autoSpaceDN w:val="0"/>
              <w:adjustRightInd w:val="0"/>
              <w:spacing w:before="11" w:line="260" w:lineRule="exact"/>
              <w:jc w:val="center"/>
              <w:rPr>
                <w:rFonts w:eastAsia="Times New Roman"/>
                <w:bCs/>
                <w:sz w:val="20"/>
                <w:szCs w:val="20"/>
              </w:rPr>
            </w:pPr>
            <w:r w:rsidRPr="00521A5B">
              <w:rPr>
                <w:rFonts w:eastAsia="Times New Roman"/>
                <w:bCs/>
                <w:sz w:val="20"/>
                <w:szCs w:val="20"/>
              </w:rPr>
              <w:t>1018 Aesthetic Revolutions</w:t>
            </w:r>
          </w:p>
        </w:tc>
        <w:tc>
          <w:tcPr>
            <w:tcW w:w="878" w:type="dxa"/>
          </w:tcPr>
          <w:p w:rsidR="006E699F" w:rsidRPr="001A0575" w:rsidRDefault="00521A5B" w:rsidP="00905A33">
            <w:pPr>
              <w:jc w:val="center"/>
              <w:rPr>
                <w:rFonts w:eastAsia="Times New Roman"/>
                <w:bCs/>
                <w:sz w:val="20"/>
                <w:szCs w:val="20"/>
              </w:rPr>
            </w:pPr>
            <w:r w:rsidRPr="00521A5B">
              <w:rPr>
                <w:rFonts w:eastAsia="Times New Roman"/>
                <w:bCs/>
                <w:sz w:val="20"/>
                <w:szCs w:val="20"/>
              </w:rPr>
              <w:t>2121 Composition</w:t>
            </w:r>
          </w:p>
        </w:tc>
        <w:tc>
          <w:tcPr>
            <w:tcW w:w="878" w:type="dxa"/>
          </w:tcPr>
          <w:p w:rsidR="006E699F" w:rsidRPr="001A0575" w:rsidRDefault="00521A5B" w:rsidP="00905A33">
            <w:pPr>
              <w:jc w:val="center"/>
              <w:rPr>
                <w:rFonts w:eastAsia="Times New Roman"/>
                <w:bCs/>
                <w:sz w:val="20"/>
                <w:szCs w:val="20"/>
              </w:rPr>
            </w:pPr>
            <w:r w:rsidRPr="00521A5B">
              <w:rPr>
                <w:rFonts w:eastAsia="Times New Roman"/>
                <w:bCs/>
                <w:sz w:val="20"/>
                <w:szCs w:val="20"/>
              </w:rPr>
              <w:t>3461</w:t>
            </w:r>
            <w:r w:rsidR="00593D7A">
              <w:rPr>
                <w:rFonts w:eastAsia="Times New Roman"/>
                <w:bCs/>
                <w:sz w:val="20"/>
                <w:szCs w:val="20"/>
              </w:rPr>
              <w:t xml:space="preserve">, 3467 </w:t>
            </w:r>
            <w:r w:rsidRPr="00521A5B">
              <w:rPr>
                <w:rFonts w:eastAsia="Times New Roman"/>
                <w:bCs/>
                <w:sz w:val="20"/>
                <w:szCs w:val="20"/>
              </w:rPr>
              <w:t xml:space="preserve"> Ensembles</w:t>
            </w:r>
          </w:p>
        </w:tc>
        <w:tc>
          <w:tcPr>
            <w:tcW w:w="878" w:type="dxa"/>
          </w:tcPr>
          <w:p w:rsidR="006E699F" w:rsidRPr="001A0575" w:rsidRDefault="00521A5B" w:rsidP="00905A33">
            <w:pPr>
              <w:jc w:val="center"/>
              <w:rPr>
                <w:rFonts w:eastAsia="Times New Roman"/>
                <w:bCs/>
                <w:sz w:val="20"/>
                <w:szCs w:val="20"/>
              </w:rPr>
            </w:pPr>
            <w:r w:rsidRPr="00521A5B">
              <w:rPr>
                <w:rFonts w:eastAsia="Times New Roman"/>
                <w:bCs/>
                <w:sz w:val="20"/>
                <w:szCs w:val="20"/>
              </w:rPr>
              <w:t>4111 Applied Music</w:t>
            </w:r>
          </w:p>
        </w:tc>
      </w:tr>
      <w:tr w:rsidR="001A0575" w:rsidRPr="001A0575" w:rsidTr="00905A33">
        <w:tc>
          <w:tcPr>
            <w:tcW w:w="1496" w:type="dxa"/>
            <w:hideMark/>
          </w:tcPr>
          <w:p w:rsidR="006E699F" w:rsidRPr="001A0575" w:rsidRDefault="00521A5B" w:rsidP="00905A33">
            <w:pPr>
              <w:rPr>
                <w:rFonts w:ascii="Arial" w:eastAsia="Times New Roman" w:hAnsi="Arial" w:cs="Arial"/>
                <w:sz w:val="20"/>
                <w:szCs w:val="20"/>
              </w:rPr>
            </w:pPr>
            <w:r w:rsidRPr="00521A5B">
              <w:rPr>
                <w:sz w:val="20"/>
                <w:szCs w:val="20"/>
              </w:rPr>
              <w:t>Students will be able to contextualize important facts, composers, ideologies, and concepts.</w:t>
            </w: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rsidR="006E699F" w:rsidRPr="001A0575" w:rsidRDefault="006E699F" w:rsidP="00905A33">
            <w:pPr>
              <w:jc w:val="center"/>
              <w:rPr>
                <w:rFonts w:ascii="Arial" w:eastAsia="Times New Roman" w:hAnsi="Arial" w:cs="Arial"/>
                <w:sz w:val="20"/>
                <w:szCs w:val="20"/>
              </w:rPr>
            </w:pPr>
          </w:p>
        </w:tc>
        <w:tc>
          <w:tcPr>
            <w:tcW w:w="877"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7"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r>
      <w:tr w:rsidR="001A0575" w:rsidRPr="001A0575" w:rsidTr="00905A33">
        <w:tc>
          <w:tcPr>
            <w:tcW w:w="1496" w:type="dxa"/>
            <w:hideMark/>
          </w:tcPr>
          <w:p w:rsidR="006E699F" w:rsidRPr="001A0575" w:rsidRDefault="00521A5B" w:rsidP="00905A33">
            <w:pPr>
              <w:rPr>
                <w:rFonts w:ascii="Arial" w:eastAsia="Times New Roman" w:hAnsi="Arial" w:cs="Arial"/>
                <w:sz w:val="20"/>
                <w:szCs w:val="20"/>
              </w:rPr>
            </w:pPr>
            <w:r w:rsidRPr="00521A5B">
              <w:rPr>
                <w:sz w:val="20"/>
                <w:szCs w:val="20"/>
              </w:rPr>
              <w:t>Students will be able to critique the traditional canon by distinguishing among various ideologies, philosophies, performance practices, and theories.</w:t>
            </w: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rsidR="006E699F" w:rsidRPr="001A0575" w:rsidRDefault="006E699F" w:rsidP="00905A33">
            <w:pPr>
              <w:jc w:val="center"/>
              <w:rPr>
                <w:rFonts w:ascii="Arial" w:eastAsia="Times New Roman" w:hAnsi="Arial" w:cs="Arial"/>
                <w:sz w:val="20"/>
                <w:szCs w:val="20"/>
              </w:rPr>
            </w:pPr>
          </w:p>
        </w:tc>
        <w:tc>
          <w:tcPr>
            <w:tcW w:w="877"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7"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r>
      <w:tr w:rsidR="001A0575" w:rsidRPr="001A0575" w:rsidTr="00905A33">
        <w:tc>
          <w:tcPr>
            <w:tcW w:w="1496" w:type="dxa"/>
            <w:hideMark/>
          </w:tcPr>
          <w:p w:rsidR="006E699F" w:rsidRPr="001A0575" w:rsidRDefault="00521A5B" w:rsidP="00905A33">
            <w:pPr>
              <w:rPr>
                <w:rFonts w:ascii="Arial" w:eastAsia="Times New Roman" w:hAnsi="Arial" w:cs="Arial"/>
                <w:sz w:val="20"/>
                <w:szCs w:val="20"/>
              </w:rPr>
            </w:pPr>
            <w:r w:rsidRPr="00521A5B">
              <w:rPr>
                <w:sz w:val="20"/>
                <w:szCs w:val="20"/>
              </w:rPr>
              <w:t>Students will be able to apply various classical, contemporary, avant-garde, and electronic idioms to their musical works.</w:t>
            </w: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rsidR="006E699F" w:rsidRPr="001A0575" w:rsidRDefault="006E699F" w:rsidP="00905A33">
            <w:pPr>
              <w:jc w:val="center"/>
              <w:rPr>
                <w:rFonts w:ascii="Arial" w:eastAsia="Times New Roman" w:hAnsi="Arial" w:cs="Arial"/>
                <w:sz w:val="20"/>
                <w:szCs w:val="20"/>
              </w:rPr>
            </w:pP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7"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r>
      <w:tr w:rsidR="001A0575" w:rsidRPr="001A0575" w:rsidTr="00905A33">
        <w:tc>
          <w:tcPr>
            <w:tcW w:w="1496" w:type="dxa"/>
            <w:hideMark/>
          </w:tcPr>
          <w:p w:rsidR="006E699F" w:rsidRPr="001A0575" w:rsidRDefault="00521A5B" w:rsidP="00905A33">
            <w:pPr>
              <w:rPr>
                <w:rFonts w:ascii="Arial" w:eastAsia="Times New Roman" w:hAnsi="Arial" w:cs="Arial"/>
                <w:sz w:val="20"/>
                <w:szCs w:val="20"/>
              </w:rPr>
            </w:pPr>
            <w:r w:rsidRPr="00521A5B">
              <w:rPr>
                <w:sz w:val="20"/>
                <w:szCs w:val="20"/>
              </w:rPr>
              <w:t>Students will be able apply the grammar and ideological theories of Western music through a sequence of core courses in Diatonic and Chromatic harmony and Species Counterpoint, and through electives in specialized areas of music theory such as Renaissance Counterpoint and Post-Tonal analysis.</w:t>
            </w:r>
          </w:p>
        </w:tc>
        <w:tc>
          <w:tcPr>
            <w:tcW w:w="877"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7"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r>
      <w:tr w:rsidR="001A0575" w:rsidRPr="001A0575" w:rsidTr="00905A33">
        <w:tc>
          <w:tcPr>
            <w:tcW w:w="1496" w:type="dxa"/>
            <w:hideMark/>
          </w:tcPr>
          <w:p w:rsidR="006E699F" w:rsidRPr="001A0575" w:rsidRDefault="00521A5B" w:rsidP="00905A33">
            <w:pPr>
              <w:rPr>
                <w:rFonts w:ascii="Arial" w:eastAsia="Times New Roman" w:hAnsi="Arial" w:cs="Arial"/>
                <w:sz w:val="20"/>
                <w:szCs w:val="20"/>
              </w:rPr>
            </w:pPr>
            <w:r w:rsidRPr="00521A5B">
              <w:rPr>
                <w:sz w:val="20"/>
                <w:szCs w:val="20"/>
              </w:rPr>
              <w:t xml:space="preserve">Students will </w:t>
            </w:r>
            <w:r w:rsidRPr="00521A5B">
              <w:rPr>
                <w:sz w:val="20"/>
                <w:szCs w:val="20"/>
              </w:rPr>
              <w:lastRenderedPageBreak/>
              <w:t>be able to formally and harmonically analyze vocal and instrumental works such as cantatas, operas, and sonatas.</w:t>
            </w: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rsidR="006E699F" w:rsidRPr="001A0575" w:rsidRDefault="006E699F" w:rsidP="00905A33">
            <w:pPr>
              <w:jc w:val="center"/>
              <w:rPr>
                <w:rFonts w:ascii="Arial" w:eastAsia="Times New Roman" w:hAnsi="Arial" w:cs="Arial"/>
                <w:sz w:val="20"/>
                <w:szCs w:val="20"/>
              </w:rPr>
            </w:pPr>
          </w:p>
        </w:tc>
        <w:tc>
          <w:tcPr>
            <w:tcW w:w="877"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7"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r>
      <w:tr w:rsidR="001A0575" w:rsidRPr="001A0575" w:rsidTr="00905A33">
        <w:tc>
          <w:tcPr>
            <w:tcW w:w="1496" w:type="dxa"/>
            <w:hideMark/>
          </w:tcPr>
          <w:p w:rsidR="006E699F" w:rsidRPr="001A0575" w:rsidRDefault="00521A5B" w:rsidP="00905A33">
            <w:pPr>
              <w:rPr>
                <w:sz w:val="20"/>
                <w:szCs w:val="20"/>
              </w:rPr>
            </w:pPr>
            <w:r w:rsidRPr="00521A5B">
              <w:rPr>
                <w:rFonts w:eastAsia="Times New Roman"/>
                <w:color w:val="000000"/>
                <w:sz w:val="20"/>
                <w:szCs w:val="20"/>
                <w:shd w:val="clear" w:color="auto" w:fill="FFFFFF"/>
              </w:rPr>
              <w:lastRenderedPageBreak/>
              <w:t>Students will be able to execute analyses using Roman numeral and figured bass identification and the basic concepts of layered structural analysis.</w:t>
            </w:r>
            <w:r w:rsidRPr="00521A5B">
              <w:rPr>
                <w:sz w:val="20"/>
                <w:szCs w:val="20"/>
              </w:rPr>
              <w:t xml:space="preserve"> </w:t>
            </w: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rsidR="006E699F" w:rsidRPr="001A0575" w:rsidRDefault="006E699F" w:rsidP="00905A33">
            <w:pPr>
              <w:jc w:val="center"/>
              <w:rPr>
                <w:rFonts w:ascii="Arial" w:eastAsia="Times New Roman" w:hAnsi="Arial" w:cs="Arial"/>
                <w:sz w:val="20"/>
                <w:szCs w:val="20"/>
              </w:rPr>
            </w:pP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7"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r>
      <w:tr w:rsidR="001A0575" w:rsidRPr="001A0575" w:rsidTr="00905A33">
        <w:tc>
          <w:tcPr>
            <w:tcW w:w="1496" w:type="dxa"/>
            <w:hideMark/>
          </w:tcPr>
          <w:p w:rsidR="006E699F" w:rsidRPr="001A0575" w:rsidRDefault="00521A5B" w:rsidP="00905A33">
            <w:pPr>
              <w:rPr>
                <w:rFonts w:ascii="Arial" w:eastAsia="Times New Roman" w:hAnsi="Arial" w:cs="Arial"/>
                <w:sz w:val="20"/>
                <w:szCs w:val="20"/>
              </w:rPr>
            </w:pPr>
            <w:r w:rsidRPr="00521A5B">
              <w:rPr>
                <w:sz w:val="20"/>
                <w:szCs w:val="20"/>
              </w:rPr>
              <w:t>Students will be able to compose musical works modeled after procedures and forms analyzed in theory classes.</w:t>
            </w: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hideMark/>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hideMark/>
          </w:tcPr>
          <w:p w:rsidR="006E699F" w:rsidRPr="001A0575" w:rsidRDefault="006E699F" w:rsidP="00905A33">
            <w:pPr>
              <w:jc w:val="center"/>
              <w:rPr>
                <w:rFonts w:ascii="Arial" w:eastAsia="Times New Roman" w:hAnsi="Arial" w:cs="Arial"/>
                <w:sz w:val="20"/>
                <w:szCs w:val="20"/>
              </w:rPr>
            </w:pP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7"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r>
      <w:tr w:rsidR="001A0575" w:rsidRPr="001A0575" w:rsidTr="00905A33">
        <w:tc>
          <w:tcPr>
            <w:tcW w:w="1496" w:type="dxa"/>
            <w:hideMark/>
          </w:tcPr>
          <w:p w:rsidR="006E699F" w:rsidRPr="001A0575" w:rsidRDefault="00521A5B" w:rsidP="00905A33">
            <w:pPr>
              <w:rPr>
                <w:rFonts w:ascii="Arial" w:eastAsia="Times New Roman" w:hAnsi="Arial" w:cs="Arial"/>
                <w:sz w:val="20"/>
                <w:szCs w:val="20"/>
              </w:rPr>
            </w:pPr>
            <w:r w:rsidRPr="00521A5B">
              <w:rPr>
                <w:sz w:val="20"/>
                <w:szCs w:val="20"/>
              </w:rPr>
              <w:t>Students will be able to perform original or extant compositions as part of a capstone project presented at the conclusion of their major just before graduation.</w:t>
            </w: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hideMark/>
          </w:tcPr>
          <w:p w:rsidR="006E699F" w:rsidRPr="001A0575" w:rsidRDefault="006E699F" w:rsidP="00905A33">
            <w:pPr>
              <w:jc w:val="center"/>
              <w:rPr>
                <w:rFonts w:ascii="Arial" w:eastAsia="Times New Roman" w:hAnsi="Arial" w:cs="Arial"/>
                <w:sz w:val="20"/>
                <w:szCs w:val="20"/>
              </w:rPr>
            </w:pPr>
          </w:p>
        </w:tc>
        <w:tc>
          <w:tcPr>
            <w:tcW w:w="878" w:type="dxa"/>
            <w:hideMark/>
          </w:tcPr>
          <w:p w:rsidR="006E699F" w:rsidRPr="001A0575" w:rsidRDefault="006E699F" w:rsidP="00905A33">
            <w:pPr>
              <w:jc w:val="center"/>
              <w:rPr>
                <w:rFonts w:ascii="Arial" w:eastAsia="Times New Roman" w:hAnsi="Arial" w:cs="Arial"/>
                <w:sz w:val="20"/>
                <w:szCs w:val="20"/>
              </w:rPr>
            </w:pP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7"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r>
      <w:tr w:rsidR="001A0575" w:rsidRPr="001A0575" w:rsidTr="00905A33">
        <w:tc>
          <w:tcPr>
            <w:tcW w:w="1496" w:type="dxa"/>
            <w:hideMark/>
          </w:tcPr>
          <w:p w:rsidR="006E699F" w:rsidRPr="001A0575" w:rsidRDefault="00521A5B" w:rsidP="00905A33">
            <w:pPr>
              <w:rPr>
                <w:rFonts w:ascii="Arial" w:eastAsia="Times New Roman" w:hAnsi="Arial" w:cs="Arial"/>
                <w:sz w:val="20"/>
                <w:szCs w:val="20"/>
              </w:rPr>
            </w:pPr>
            <w:r w:rsidRPr="00521A5B">
              <w:rPr>
                <w:sz w:val="20"/>
                <w:szCs w:val="20"/>
              </w:rPr>
              <w:t xml:space="preserve">Students will be able to demonstrate basic proficiency on a keyboard instrument.  </w:t>
            </w: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hideMark/>
          </w:tcPr>
          <w:p w:rsidR="006E699F" w:rsidRPr="001A0575" w:rsidRDefault="006E699F" w:rsidP="00905A33">
            <w:pPr>
              <w:jc w:val="center"/>
              <w:rPr>
                <w:rFonts w:ascii="Arial" w:eastAsia="Times New Roman" w:hAnsi="Arial" w:cs="Arial"/>
                <w:sz w:val="20"/>
                <w:szCs w:val="20"/>
              </w:rPr>
            </w:pPr>
          </w:p>
        </w:tc>
        <w:tc>
          <w:tcPr>
            <w:tcW w:w="878" w:type="dxa"/>
            <w:hideMark/>
          </w:tcPr>
          <w:p w:rsidR="006E699F" w:rsidRPr="001A0575" w:rsidRDefault="006E699F" w:rsidP="00905A33">
            <w:pPr>
              <w:jc w:val="center"/>
              <w:rPr>
                <w:rFonts w:ascii="Arial" w:eastAsia="Times New Roman" w:hAnsi="Arial" w:cs="Arial"/>
                <w:sz w:val="20"/>
                <w:szCs w:val="20"/>
              </w:rPr>
            </w:pPr>
          </w:p>
        </w:tc>
        <w:tc>
          <w:tcPr>
            <w:tcW w:w="877" w:type="dxa"/>
            <w:hideMark/>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7"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6E699F" w:rsidP="00905A33">
            <w:pPr>
              <w:jc w:val="center"/>
              <w:rPr>
                <w:rFonts w:ascii="Arial" w:eastAsia="Times New Roman" w:hAnsi="Arial" w:cs="Arial"/>
                <w:sz w:val="20"/>
                <w:szCs w:val="20"/>
              </w:rPr>
            </w:pP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c>
          <w:tcPr>
            <w:tcW w:w="878" w:type="dxa"/>
          </w:tcPr>
          <w:p w:rsidR="006E699F" w:rsidRPr="001A0575" w:rsidRDefault="00521A5B" w:rsidP="00905A33">
            <w:pPr>
              <w:jc w:val="center"/>
              <w:rPr>
                <w:rFonts w:ascii="Arial" w:eastAsia="Times New Roman" w:hAnsi="Arial" w:cs="Arial"/>
                <w:sz w:val="20"/>
                <w:szCs w:val="20"/>
              </w:rPr>
            </w:pPr>
            <w:r w:rsidRPr="00521A5B">
              <w:rPr>
                <w:rFonts w:ascii="Arial" w:eastAsia="Times New Roman" w:hAnsi="Arial" w:cs="Arial"/>
                <w:sz w:val="20"/>
                <w:szCs w:val="20"/>
              </w:rPr>
              <w:t>X</w:t>
            </w:r>
          </w:p>
        </w:tc>
      </w:tr>
    </w:tbl>
    <w:p w:rsidR="00EF199E" w:rsidRPr="001A0575" w:rsidRDefault="00EF199E" w:rsidP="009304F9">
      <w:pPr>
        <w:autoSpaceDE w:val="0"/>
        <w:autoSpaceDN w:val="0"/>
        <w:adjustRightInd w:val="0"/>
        <w:spacing w:before="11" w:line="260" w:lineRule="exact"/>
        <w:ind w:left="1440" w:firstLine="720"/>
        <w:jc w:val="center"/>
        <w:rPr>
          <w:rFonts w:ascii="Calibri" w:hAnsi="Calibri" w:cs="Calibri"/>
          <w:sz w:val="20"/>
          <w:szCs w:val="20"/>
        </w:rPr>
      </w:pPr>
    </w:p>
    <w:p w:rsidR="00EF199E" w:rsidRPr="001A0575" w:rsidRDefault="00EF199E" w:rsidP="00905A33">
      <w:pPr>
        <w:autoSpaceDE w:val="0"/>
        <w:autoSpaceDN w:val="0"/>
        <w:adjustRightInd w:val="0"/>
        <w:spacing w:before="11" w:line="260" w:lineRule="exact"/>
        <w:rPr>
          <w:rFonts w:ascii="Calibri" w:hAnsi="Calibri" w:cs="Calibri"/>
          <w:sz w:val="20"/>
          <w:szCs w:val="20"/>
        </w:rPr>
      </w:pPr>
    </w:p>
    <w:sectPr w:rsidR="00EF199E" w:rsidRPr="001A0575" w:rsidSect="00A83E8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C8CB7" w15:done="0"/>
  <w15:commentEx w15:paraId="267F0A58" w15:paraIdParent="320C8CB7" w15:done="0"/>
  <w15:commentEx w15:paraId="72BC9ED8" w15:done="0"/>
  <w15:commentEx w15:paraId="4926AC3F" w15:done="0"/>
  <w15:commentEx w15:paraId="6BAAB664" w15:done="0"/>
  <w15:commentEx w15:paraId="0F23FB70" w15:done="0"/>
  <w15:commentEx w15:paraId="6439480D" w15:done="0"/>
  <w15:commentEx w15:paraId="0B6CFCF0" w15:done="0"/>
  <w15:commentEx w15:paraId="577564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DC8" w:rsidRDefault="00873DC8" w:rsidP="00E80D4F">
      <w:r>
        <w:separator/>
      </w:r>
    </w:p>
  </w:endnote>
  <w:endnote w:type="continuationSeparator" w:id="0">
    <w:p w:rsidR="00873DC8" w:rsidRDefault="00873DC8" w:rsidP="00E80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DC8" w:rsidRDefault="00873DC8" w:rsidP="00E80D4F">
      <w:r>
        <w:separator/>
      </w:r>
    </w:p>
  </w:footnote>
  <w:footnote w:type="continuationSeparator" w:id="0">
    <w:p w:rsidR="00873DC8" w:rsidRDefault="00873DC8" w:rsidP="00E80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E2541"/>
    <w:multiLevelType w:val="hybridMultilevel"/>
    <w:tmpl w:val="E33C2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7">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7"/>
  </w:num>
  <w:num w:numId="6">
    <w:abstractNumId w:val="1"/>
  </w:num>
  <w:num w:numId="7">
    <w:abstractNumId w:val="5"/>
  </w:num>
  <w:num w:numId="8">
    <w:abstractNumId w:val="2"/>
  </w:num>
  <w:num w:numId="9">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7CE4"/>
    <w:rsid w:val="0000401F"/>
    <w:rsid w:val="00014E1B"/>
    <w:rsid w:val="0003014B"/>
    <w:rsid w:val="00051BCC"/>
    <w:rsid w:val="00071A3C"/>
    <w:rsid w:val="00080392"/>
    <w:rsid w:val="000C3D75"/>
    <w:rsid w:val="000D6209"/>
    <w:rsid w:val="000E3471"/>
    <w:rsid w:val="000E48EA"/>
    <w:rsid w:val="000E6230"/>
    <w:rsid w:val="000F1EDA"/>
    <w:rsid w:val="001415A6"/>
    <w:rsid w:val="00172BDF"/>
    <w:rsid w:val="00174DB1"/>
    <w:rsid w:val="001921BB"/>
    <w:rsid w:val="001A0575"/>
    <w:rsid w:val="001B17BE"/>
    <w:rsid w:val="001B1EF0"/>
    <w:rsid w:val="001B71B4"/>
    <w:rsid w:val="001D4D14"/>
    <w:rsid w:val="00226000"/>
    <w:rsid w:val="00265E24"/>
    <w:rsid w:val="002F5B83"/>
    <w:rsid w:val="00353B9C"/>
    <w:rsid w:val="00356A45"/>
    <w:rsid w:val="003A500F"/>
    <w:rsid w:val="003A57F2"/>
    <w:rsid w:val="00402D10"/>
    <w:rsid w:val="00422384"/>
    <w:rsid w:val="0045044C"/>
    <w:rsid w:val="0047564C"/>
    <w:rsid w:val="00487559"/>
    <w:rsid w:val="004922F1"/>
    <w:rsid w:val="005071C2"/>
    <w:rsid w:val="00521A5B"/>
    <w:rsid w:val="00566258"/>
    <w:rsid w:val="00593D7A"/>
    <w:rsid w:val="005A1A95"/>
    <w:rsid w:val="005B5B4E"/>
    <w:rsid w:val="005E3B0C"/>
    <w:rsid w:val="005E5E0E"/>
    <w:rsid w:val="005F3274"/>
    <w:rsid w:val="00600B29"/>
    <w:rsid w:val="00613D0A"/>
    <w:rsid w:val="00617707"/>
    <w:rsid w:val="00677E1D"/>
    <w:rsid w:val="00685C37"/>
    <w:rsid w:val="0068693A"/>
    <w:rsid w:val="006A59DD"/>
    <w:rsid w:val="006E699F"/>
    <w:rsid w:val="00756AB3"/>
    <w:rsid w:val="00770BB1"/>
    <w:rsid w:val="007B41F0"/>
    <w:rsid w:val="008146BB"/>
    <w:rsid w:val="00817493"/>
    <w:rsid w:val="00873DC8"/>
    <w:rsid w:val="00905A33"/>
    <w:rsid w:val="00907D30"/>
    <w:rsid w:val="00915ADA"/>
    <w:rsid w:val="009304F9"/>
    <w:rsid w:val="00937E66"/>
    <w:rsid w:val="00944921"/>
    <w:rsid w:val="00963ABE"/>
    <w:rsid w:val="009736B8"/>
    <w:rsid w:val="0098564B"/>
    <w:rsid w:val="009B4205"/>
    <w:rsid w:val="009B4766"/>
    <w:rsid w:val="009C6516"/>
    <w:rsid w:val="00A444C3"/>
    <w:rsid w:val="00A66057"/>
    <w:rsid w:val="00A8043B"/>
    <w:rsid w:val="00A8068D"/>
    <w:rsid w:val="00A83E85"/>
    <w:rsid w:val="00AA4076"/>
    <w:rsid w:val="00AE2FE5"/>
    <w:rsid w:val="00AF0C73"/>
    <w:rsid w:val="00AF3C61"/>
    <w:rsid w:val="00AF5D62"/>
    <w:rsid w:val="00AF71DD"/>
    <w:rsid w:val="00B158E7"/>
    <w:rsid w:val="00B15C18"/>
    <w:rsid w:val="00B6569C"/>
    <w:rsid w:val="00B748B1"/>
    <w:rsid w:val="00B77589"/>
    <w:rsid w:val="00B83FF9"/>
    <w:rsid w:val="00B92187"/>
    <w:rsid w:val="00B9357B"/>
    <w:rsid w:val="00BB42A9"/>
    <w:rsid w:val="00BD2A6F"/>
    <w:rsid w:val="00C67CE4"/>
    <w:rsid w:val="00C95E80"/>
    <w:rsid w:val="00C97A9D"/>
    <w:rsid w:val="00CA6C40"/>
    <w:rsid w:val="00CB7B65"/>
    <w:rsid w:val="00CE7C8C"/>
    <w:rsid w:val="00D0696A"/>
    <w:rsid w:val="00D21B57"/>
    <w:rsid w:val="00D30D41"/>
    <w:rsid w:val="00D723C9"/>
    <w:rsid w:val="00DE0824"/>
    <w:rsid w:val="00DF7DE5"/>
    <w:rsid w:val="00E00294"/>
    <w:rsid w:val="00E00445"/>
    <w:rsid w:val="00E44CB4"/>
    <w:rsid w:val="00E80D4F"/>
    <w:rsid w:val="00EA1970"/>
    <w:rsid w:val="00EB261D"/>
    <w:rsid w:val="00EC0F59"/>
    <w:rsid w:val="00EF199E"/>
    <w:rsid w:val="00EF205C"/>
    <w:rsid w:val="00F12E74"/>
    <w:rsid w:val="00F21B3A"/>
    <w:rsid w:val="00F364F3"/>
    <w:rsid w:val="00F60CA7"/>
    <w:rsid w:val="00F84409"/>
    <w:rsid w:val="00F868A1"/>
    <w:rsid w:val="00FA6CFD"/>
    <w:rsid w:val="00FD6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DD"/>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1B7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44C3"/>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E80D4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 w:type="character" w:styleId="Hyperlink">
    <w:name w:val="Hyperlink"/>
    <w:basedOn w:val="DefaultParagraphFont"/>
    <w:uiPriority w:val="99"/>
    <w:unhideWhenUsed/>
    <w:rsid w:val="00B748B1"/>
    <w:rPr>
      <w:color w:val="0000FF" w:themeColor="hyperlink"/>
      <w:u w:val="single"/>
    </w:rPr>
  </w:style>
  <w:style w:type="character" w:styleId="CommentReference">
    <w:name w:val="annotation reference"/>
    <w:basedOn w:val="DefaultParagraphFont"/>
    <w:uiPriority w:val="99"/>
    <w:semiHidden/>
    <w:unhideWhenUsed/>
    <w:rsid w:val="00F84409"/>
    <w:rPr>
      <w:sz w:val="16"/>
      <w:szCs w:val="16"/>
    </w:rPr>
  </w:style>
  <w:style w:type="paragraph" w:styleId="CommentText">
    <w:name w:val="annotation text"/>
    <w:basedOn w:val="Normal"/>
    <w:link w:val="CommentTextChar"/>
    <w:uiPriority w:val="99"/>
    <w:semiHidden/>
    <w:unhideWhenUsed/>
    <w:rsid w:val="00F8440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84409"/>
    <w:rPr>
      <w:sz w:val="20"/>
      <w:szCs w:val="20"/>
    </w:rPr>
  </w:style>
  <w:style w:type="paragraph" w:styleId="CommentSubject">
    <w:name w:val="annotation subject"/>
    <w:basedOn w:val="CommentText"/>
    <w:next w:val="CommentText"/>
    <w:link w:val="CommentSubjectChar"/>
    <w:uiPriority w:val="99"/>
    <w:semiHidden/>
    <w:unhideWhenUsed/>
    <w:rsid w:val="00F84409"/>
    <w:rPr>
      <w:b/>
      <w:bCs/>
    </w:rPr>
  </w:style>
  <w:style w:type="character" w:customStyle="1" w:styleId="CommentSubjectChar">
    <w:name w:val="Comment Subject Char"/>
    <w:basedOn w:val="CommentTextChar"/>
    <w:link w:val="CommentSubject"/>
    <w:uiPriority w:val="99"/>
    <w:semiHidden/>
    <w:rsid w:val="00F84409"/>
    <w:rPr>
      <w:b/>
      <w:bCs/>
      <w:sz w:val="20"/>
      <w:szCs w:val="20"/>
    </w:rPr>
  </w:style>
  <w:style w:type="paragraph" w:styleId="Revision">
    <w:name w:val="Revision"/>
    <w:hidden/>
    <w:uiPriority w:val="99"/>
    <w:semiHidden/>
    <w:rsid w:val="005071C2"/>
    <w:pPr>
      <w:spacing w:after="0" w:line="240" w:lineRule="auto"/>
    </w:pPr>
    <w:rPr>
      <w:rFonts w:ascii="Times New Roman" w:hAnsi="Times New Roman" w:cs="Times New Roman"/>
      <w:sz w:val="24"/>
      <w:szCs w:val="24"/>
    </w:rPr>
  </w:style>
  <w:style w:type="table" w:customStyle="1" w:styleId="GridTableLight">
    <w:name w:val="Grid Table Light"/>
    <w:basedOn w:val="TableNormal"/>
    <w:uiPriority w:val="40"/>
    <w:rsid w:val="000E347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 w:id="198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 w:id="11282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eliavsk@y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beliavsky@gmail.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C80EF-AE97-4F4F-99A3-E39601CC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6</cp:revision>
  <cp:lastPrinted>2016-07-05T03:01:00Z</cp:lastPrinted>
  <dcterms:created xsi:type="dcterms:W3CDTF">2016-09-26T14:29:00Z</dcterms:created>
  <dcterms:modified xsi:type="dcterms:W3CDTF">2017-01-31T16:52:00Z</dcterms:modified>
</cp:coreProperties>
</file>