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CC76A" w14:textId="77777777" w:rsidR="00051223" w:rsidRDefault="00051223" w:rsidP="00EE2475">
      <w:pPr>
        <w:rPr>
          <w:rFonts w:ascii="Arial" w:hAnsi="Arial" w:cs="Arial"/>
          <w:b/>
        </w:rPr>
      </w:pPr>
    </w:p>
    <w:p w14:paraId="607E3384" w14:textId="3DCEF980" w:rsidR="00B42790" w:rsidRPr="00051223" w:rsidRDefault="00C0607F" w:rsidP="005742DB">
      <w:pPr>
        <w:jc w:val="center"/>
        <w:rPr>
          <w:rFonts w:ascii="Arial" w:hAnsi="Arial" w:cs="Arial"/>
          <w:b/>
        </w:rPr>
      </w:pPr>
      <w:r>
        <w:rPr>
          <w:rFonts w:ascii="Arial" w:hAnsi="Arial" w:cs="Arial"/>
          <w:b/>
        </w:rPr>
        <w:t>November</w:t>
      </w:r>
      <w:r w:rsidR="00064DC0">
        <w:rPr>
          <w:rFonts w:ascii="Arial" w:hAnsi="Arial" w:cs="Arial"/>
          <w:b/>
        </w:rPr>
        <w:t xml:space="preserve"> </w:t>
      </w:r>
      <w:r w:rsidR="00B35326">
        <w:rPr>
          <w:rFonts w:ascii="Arial" w:hAnsi="Arial" w:cs="Arial"/>
          <w:b/>
        </w:rPr>
        <w:t>2025</w:t>
      </w:r>
    </w:p>
    <w:p w14:paraId="4F544C2E" w14:textId="63D92AD7" w:rsidR="00AE3DBE" w:rsidRDefault="00AE3DBE" w:rsidP="00AE3DBE">
      <w:pPr>
        <w:spacing w:before="100" w:beforeAutospacing="1" w:after="100" w:afterAutospacing="1"/>
      </w:pPr>
      <w:r>
        <w:rPr>
          <w:i/>
          <w:iCs/>
          <w:color w:val="000000"/>
          <w:shd w:val="clear" w:color="auto" w:fill="FFFFFF"/>
        </w:rPr>
        <w:t xml:space="preserve">Please share with your faculty: </w:t>
      </w:r>
    </w:p>
    <w:p w14:paraId="7B7ED3E2" w14:textId="756B08F0" w:rsidR="00CC39D6" w:rsidRDefault="00C0607F" w:rsidP="00B35326">
      <w:pPr>
        <w:rPr>
          <w:b/>
          <w:bCs/>
          <w:iCs/>
          <w:color w:val="000000"/>
          <w:shd w:val="clear" w:color="auto" w:fill="FFFFFF"/>
        </w:rPr>
      </w:pPr>
      <w:r>
        <w:rPr>
          <w:b/>
          <w:bCs/>
          <w:iCs/>
          <w:color w:val="000000"/>
          <w:shd w:val="clear" w:color="auto" w:fill="FFFFFF"/>
        </w:rPr>
        <w:t>Competency</w:t>
      </w:r>
      <w:r w:rsidR="00A36CCB">
        <w:rPr>
          <w:b/>
          <w:bCs/>
          <w:iCs/>
          <w:color w:val="000000"/>
          <w:shd w:val="clear" w:color="auto" w:fill="FFFFFF"/>
        </w:rPr>
        <w:t>-</w:t>
      </w:r>
      <w:r>
        <w:rPr>
          <w:b/>
          <w:bCs/>
          <w:iCs/>
          <w:color w:val="000000"/>
          <w:shd w:val="clear" w:color="auto" w:fill="FFFFFF"/>
        </w:rPr>
        <w:t xml:space="preserve">based </w:t>
      </w:r>
      <w:r w:rsidR="0023399E">
        <w:rPr>
          <w:b/>
          <w:bCs/>
          <w:iCs/>
          <w:color w:val="000000"/>
          <w:shd w:val="clear" w:color="auto" w:fill="FFFFFF"/>
        </w:rPr>
        <w:t>grading</w:t>
      </w:r>
      <w:r w:rsidR="00197247">
        <w:rPr>
          <w:b/>
          <w:bCs/>
          <w:iCs/>
          <w:color w:val="000000"/>
          <w:shd w:val="clear" w:color="auto" w:fill="FFFFFF"/>
        </w:rPr>
        <w:t xml:space="preserve"> vs. traditional grading</w:t>
      </w:r>
    </w:p>
    <w:p w14:paraId="57FC723E" w14:textId="77777777" w:rsidR="00C0607F" w:rsidRDefault="00C0607F" w:rsidP="00B35326">
      <w:pPr>
        <w:rPr>
          <w:b/>
          <w:bCs/>
          <w:iCs/>
          <w:color w:val="000000"/>
          <w:shd w:val="clear" w:color="auto" w:fill="FFFFFF"/>
        </w:rPr>
      </w:pPr>
    </w:p>
    <w:p w14:paraId="0AE5C4FE" w14:textId="77777777" w:rsidR="002A098C" w:rsidRDefault="00A36CCB" w:rsidP="00B35326">
      <w:r>
        <w:t xml:space="preserve">Traditional grading focuses on students’ performance at a fixed point in time and </w:t>
      </w:r>
      <w:r w:rsidR="00CE6782">
        <w:t xml:space="preserve">is </w:t>
      </w:r>
      <w:r>
        <w:t>evaluative in nature.  In contrast, competency-based grading focuses on students’ mastery of</w:t>
      </w:r>
      <w:r w:rsidR="00CE6782">
        <w:t xml:space="preserve"> specific</w:t>
      </w:r>
      <w:r>
        <w:t xml:space="preserve"> </w:t>
      </w:r>
      <w:r w:rsidR="00CE6782">
        <w:t>skills and abilities</w:t>
      </w:r>
      <w:r w:rsidR="00A21D54">
        <w:t xml:space="preserve"> (Hanson, n.d.)</w:t>
      </w:r>
      <w:r w:rsidR="00CE6782">
        <w:t>.  Unlike traditional grading schemes which provide students with a fixed grade or score, competency-based grading focuses on students’ progress toward meeting competencies or objectives.  Students work is evaluated on a proficiency level scale including levels such as developing, emerging, proficient, and extending</w:t>
      </w:r>
      <w:r w:rsidR="00A21D54">
        <w:t xml:space="preserve"> (Pitzer, 2025)</w:t>
      </w:r>
      <w:r w:rsidR="00CE6782">
        <w:t>. With competency-based grading, students are typically given multiple opportunities to demonstrate proficiency with a variety of assessments and opportunities for revision.</w:t>
      </w:r>
      <w:r w:rsidR="002A098C">
        <w:t xml:space="preserve">  </w:t>
      </w:r>
    </w:p>
    <w:p w14:paraId="733CA02F" w14:textId="77777777" w:rsidR="002A098C" w:rsidRDefault="002A098C" w:rsidP="00B35326"/>
    <w:p w14:paraId="4A74A31A" w14:textId="49F9BBE3" w:rsidR="00770CC3" w:rsidRDefault="002A098C" w:rsidP="00770CC3">
      <w:r>
        <w:t xml:space="preserve">For example, if one of the standards for demonstrating quality writing is that students can support </w:t>
      </w:r>
      <w:r w:rsidR="00506EAE">
        <w:t xml:space="preserve">claims </w:t>
      </w:r>
      <w:r>
        <w:t xml:space="preserve">with </w:t>
      </w:r>
      <w:r w:rsidR="00A72CC8">
        <w:t>credible</w:t>
      </w:r>
      <w:r>
        <w:t xml:space="preserve"> and relevant sources of information then a competency-based rubric would be effective in assessing students’ development of this skill across </w:t>
      </w:r>
      <w:r w:rsidR="00506EAE">
        <w:t xml:space="preserve">time using </w:t>
      </w:r>
      <w:r>
        <w:t>various writing assignments in a course</w:t>
      </w:r>
      <w:r w:rsidR="00770CC3">
        <w:t xml:space="preserve"> or program</w:t>
      </w:r>
      <w:r>
        <w:t>.</w:t>
      </w:r>
      <w:r w:rsidR="00506EAE">
        <w:t xml:space="preserve"> </w:t>
      </w:r>
      <w:r w:rsidR="00A72CC8">
        <w:t>Competency</w:t>
      </w:r>
      <w:r>
        <w:t>-based rubric</w:t>
      </w:r>
      <w:r w:rsidR="00770CC3">
        <w:t>s</w:t>
      </w:r>
      <w:r>
        <w:t xml:space="preserve"> </w:t>
      </w:r>
      <w:r w:rsidR="00C71EDD">
        <w:t>differ</w:t>
      </w:r>
      <w:r w:rsidR="00506EAE">
        <w:t xml:space="preserve"> from </w:t>
      </w:r>
      <w:r w:rsidR="00770CC3">
        <w:t>traditional</w:t>
      </w:r>
      <w:r>
        <w:t xml:space="preserve"> product-based rubric</w:t>
      </w:r>
      <w:r w:rsidR="00770CC3">
        <w:t>s</w:t>
      </w:r>
      <w:r>
        <w:t xml:space="preserve"> </w:t>
      </w:r>
      <w:r w:rsidR="00506EAE">
        <w:t>which</w:t>
      </w:r>
      <w:r>
        <w:t xml:space="preserve"> </w:t>
      </w:r>
      <w:r w:rsidR="00506EAE">
        <w:t>evaluate</w:t>
      </w:r>
      <w:r w:rsidR="00770CC3">
        <w:t xml:space="preserve"> </w:t>
      </w:r>
      <w:r>
        <w:t>students’ performance</w:t>
      </w:r>
      <w:r w:rsidR="00506EAE">
        <w:t xml:space="preserve"> on</w:t>
      </w:r>
      <w:r w:rsidR="00A72CC8">
        <w:t xml:space="preserve"> a final product or work </w:t>
      </w:r>
      <w:r>
        <w:t>(Hanson, n.d.</w:t>
      </w:r>
      <w:r w:rsidR="009C4287">
        <w:t>, par. 10</w:t>
      </w:r>
      <w:r>
        <w:t xml:space="preserve">). </w:t>
      </w:r>
      <w:r w:rsidR="00506EAE">
        <w:t xml:space="preserve">  For example, a product-based rubric for an essay assignment may evaluate students </w:t>
      </w:r>
      <w:r w:rsidR="00A72CC8">
        <w:t xml:space="preserve">using a scale ranging from poor to excellent </w:t>
      </w:r>
      <w:r w:rsidR="00506EAE">
        <w:t xml:space="preserve">on criteria such as writing mechanics, organization, and </w:t>
      </w:r>
      <w:r w:rsidR="00A72CC8">
        <w:t xml:space="preserve">a quality </w:t>
      </w:r>
      <w:r w:rsidR="00506EAE">
        <w:t>thesis statement</w:t>
      </w:r>
      <w:r w:rsidR="00A72CC8">
        <w:t xml:space="preserve">.  </w:t>
      </w:r>
      <w:r w:rsidR="00506EAE">
        <w:t xml:space="preserve">This type of product-based rubric </w:t>
      </w:r>
      <w:r w:rsidR="00A72CC8">
        <w:t xml:space="preserve">does not measure growth in these skills over </w:t>
      </w:r>
      <w:r w:rsidR="00770CC3">
        <w:t>time but</w:t>
      </w:r>
      <w:r w:rsidR="00A72CC8">
        <w:t xml:space="preserve"> is looking at how students perform on</w:t>
      </w:r>
      <w:r w:rsidR="00770CC3">
        <w:t xml:space="preserve"> </w:t>
      </w:r>
      <w:r w:rsidR="00A72CC8">
        <w:t xml:space="preserve">assignment-specific criteria at a single-point in time.  On the other hand, </w:t>
      </w:r>
      <w:r w:rsidR="00770CC3">
        <w:t xml:space="preserve">with </w:t>
      </w:r>
      <w:r w:rsidR="00A72CC8">
        <w:t xml:space="preserve">competency-based </w:t>
      </w:r>
      <w:r w:rsidR="00770CC3">
        <w:t xml:space="preserve">grading, </w:t>
      </w:r>
      <w:r w:rsidR="00770CC3">
        <w:t>the</w:t>
      </w:r>
      <w:r w:rsidR="00770CC3">
        <w:t xml:space="preserve"> essay no longer serves as the product to evaluate students work with a grade, but as Hanson (n.d.) writes the </w:t>
      </w:r>
      <w:r w:rsidR="00770CC3" w:rsidRPr="00A72CC8">
        <w:t>“essay</w:t>
      </w:r>
      <w:r w:rsidR="00770CC3" w:rsidRPr="00A72CC8">
        <w:t xml:space="preserve"> becomes the vehicle for learners to demonstrate various skills</w:t>
      </w:r>
      <w:r w:rsidR="00770CC3">
        <w:t xml:space="preserve">” </w:t>
      </w:r>
      <w:r w:rsidR="00770CC3">
        <w:t xml:space="preserve">and growth over time.  </w:t>
      </w:r>
    </w:p>
    <w:p w14:paraId="334B14F6" w14:textId="77777777" w:rsidR="00B41AEC" w:rsidRDefault="00B41AEC" w:rsidP="00B35326"/>
    <w:p w14:paraId="3371756B" w14:textId="4BAB9F6D" w:rsidR="00B41AEC" w:rsidRDefault="00B41AEC" w:rsidP="00B35326">
      <w:r>
        <w:t>C</w:t>
      </w:r>
      <w:r w:rsidR="00CE6782">
        <w:t>ompetency</w:t>
      </w:r>
      <w:r w:rsidR="00A21D54">
        <w:t xml:space="preserve">-based grading is more likely to promote growth mindsets among students since the goal is to develop proficiency.  This focus on mastery of material and </w:t>
      </w:r>
      <w:r>
        <w:t xml:space="preserve">growth mindset, </w:t>
      </w:r>
      <w:r w:rsidR="00A21D54">
        <w:t>contrasts from traditional grading which lends itself to students’ fixation on performance and grades.  When students feel like their performance is fixed, and there are little opportunities to revise their work and demonstrate growth, students’ motivation diminishes</w:t>
      </w:r>
      <w:r w:rsidR="00E3343B">
        <w:t xml:space="preserve"> (Dweck and Master, 2007)</w:t>
      </w:r>
      <w:r w:rsidR="00A21D54">
        <w:t xml:space="preserve">.  On the other hand, competency-based grading, which provides students with </w:t>
      </w:r>
      <w:r w:rsidR="00A21D54">
        <w:lastRenderedPageBreak/>
        <w:t xml:space="preserve">detailed feedback and opportunities to demonstrate improvement is more likely to increase motivation and in turn mastery of objectives. </w:t>
      </w:r>
    </w:p>
    <w:p w14:paraId="2D38765D" w14:textId="77777777" w:rsidR="00B41AEC" w:rsidRDefault="00B41AEC" w:rsidP="00B35326"/>
    <w:p w14:paraId="077F7F7C" w14:textId="22B24CC9" w:rsidR="00CA63A4" w:rsidRDefault="00A21D54" w:rsidP="00B35326">
      <w:pPr>
        <w:rPr>
          <w:b/>
          <w:bCs/>
        </w:rPr>
      </w:pPr>
      <w:r>
        <w:t xml:space="preserve"> </w:t>
      </w:r>
      <w:r w:rsidR="00E3343B">
        <w:t xml:space="preserve">Pitzer (2025), suggests the following strategies to transition from traditional grading to competency-based grading: first start small by applying competency-based grading to one assignment or unit of study vs. changing the whole course grading structure at once.  Second, she emphasizes the importance of defining clear learning objectives that are specific, measurable and student-centered.  </w:t>
      </w:r>
      <w:r w:rsidR="00B41AEC">
        <w:t>Lastly</w:t>
      </w:r>
      <w:r w:rsidR="00E3343B">
        <w:t xml:space="preserve">, it is </w:t>
      </w:r>
      <w:r w:rsidR="00B41AEC">
        <w:t>important</w:t>
      </w:r>
      <w:r w:rsidR="00E3343B">
        <w:t xml:space="preserve"> to design specific </w:t>
      </w:r>
      <w:r w:rsidR="00B41AEC">
        <w:t>outcome-based</w:t>
      </w:r>
      <w:r w:rsidR="00E3343B">
        <w:t xml:space="preserve"> rubrics</w:t>
      </w:r>
      <w:r w:rsidR="00B41AEC">
        <w:t xml:space="preserve"> using a 3- or 4-point scale.  The rubrics should </w:t>
      </w:r>
      <w:r w:rsidR="00E3343B">
        <w:t>focus on mastery vs. points, and use clear</w:t>
      </w:r>
      <w:r w:rsidR="00B41AEC">
        <w:t xml:space="preserve">, descriptive, and objective language for the different proficiency levels.  </w:t>
      </w:r>
    </w:p>
    <w:p w14:paraId="7B4C359D" w14:textId="77777777" w:rsidR="00A36CCB" w:rsidRPr="00A36CCB" w:rsidRDefault="00A36CCB" w:rsidP="00B35326">
      <w:pPr>
        <w:rPr>
          <w:b/>
          <w:bCs/>
        </w:rPr>
      </w:pPr>
    </w:p>
    <w:p w14:paraId="12E985D0" w14:textId="77777777" w:rsidR="001E0CE3" w:rsidRDefault="001E0CE3" w:rsidP="00B35326">
      <w:pPr>
        <w:rPr>
          <w:b/>
          <w:bCs/>
        </w:rPr>
      </w:pPr>
    </w:p>
    <w:p w14:paraId="7C79D512" w14:textId="77777777" w:rsidR="001E0CE3" w:rsidRDefault="001E0CE3" w:rsidP="00B35326">
      <w:pPr>
        <w:rPr>
          <w:b/>
          <w:bCs/>
        </w:rPr>
      </w:pPr>
    </w:p>
    <w:p w14:paraId="5EA22137" w14:textId="77777777" w:rsidR="001E0CE3" w:rsidRDefault="001E0CE3" w:rsidP="00B35326">
      <w:pPr>
        <w:rPr>
          <w:b/>
          <w:bCs/>
        </w:rPr>
      </w:pPr>
    </w:p>
    <w:p w14:paraId="55B3F898" w14:textId="68F01D54" w:rsidR="00CA63A4" w:rsidRDefault="00CA63A4" w:rsidP="00B35326">
      <w:pPr>
        <w:rPr>
          <w:b/>
          <w:bCs/>
        </w:rPr>
      </w:pPr>
      <w:r>
        <w:rPr>
          <w:b/>
          <w:bCs/>
        </w:rPr>
        <w:t>References:</w:t>
      </w:r>
    </w:p>
    <w:p w14:paraId="1B444854" w14:textId="77777777" w:rsidR="00CA63A4" w:rsidRDefault="00CA63A4" w:rsidP="00B35326">
      <w:pPr>
        <w:rPr>
          <w:b/>
          <w:bCs/>
        </w:rPr>
      </w:pPr>
    </w:p>
    <w:p w14:paraId="261B4C71" w14:textId="77777777" w:rsidR="001E0CE3" w:rsidRPr="00DA339F" w:rsidRDefault="001E0CE3" w:rsidP="001E0CE3">
      <w:pPr>
        <w:ind w:left="720" w:hanging="720"/>
        <w:rPr>
          <w:i/>
        </w:rPr>
      </w:pPr>
      <w:r w:rsidRPr="00DA339F">
        <w:t xml:space="preserve">Dweck, C.S. &amp; Master, A. (2007).  Self-theories motivate self-regulated learning.  In D. H. Schunk and B. J., Zimmerman (Eds.).  </w:t>
      </w:r>
      <w:r w:rsidRPr="00DA339F">
        <w:rPr>
          <w:i/>
        </w:rPr>
        <w:t xml:space="preserve">Motivation and self-regulated learning:  Theory, research, and applications </w:t>
      </w:r>
      <w:r w:rsidRPr="00DA339F">
        <w:t>(pp. 31-51).  Mahwah, NJ:  Lawrence Erlbaum Associates/Taylor &amp; Francis Group.</w:t>
      </w:r>
      <w:r w:rsidRPr="00DA339F">
        <w:rPr>
          <w:i/>
        </w:rPr>
        <w:t xml:space="preserve">  </w:t>
      </w:r>
    </w:p>
    <w:p w14:paraId="3ACEAEF9" w14:textId="77777777" w:rsidR="001E0CE3" w:rsidRDefault="001E0CE3" w:rsidP="001E0CE3"/>
    <w:p w14:paraId="2C2C9E64" w14:textId="24D281EA" w:rsidR="001E0CE3" w:rsidRDefault="001E0CE3" w:rsidP="001E0CE3">
      <w:r w:rsidRPr="001E0CE3">
        <w:t>Hanson, Ben. “3 Key Shifts from Traditional Grading to Competency-Based Learning and Assessment.” </w:t>
      </w:r>
      <w:r w:rsidRPr="001E0CE3">
        <w:rPr>
          <w:i/>
          <w:iCs/>
        </w:rPr>
        <w:t>Learner-Centered Collaborative</w:t>
      </w:r>
      <w:r w:rsidRPr="001E0CE3">
        <w:t xml:space="preserve">. </w:t>
      </w:r>
      <w:r>
        <w:t>Retrieved October 21, 2025</w:t>
      </w:r>
      <w:r w:rsidRPr="001E0CE3">
        <w:t xml:space="preserve"> 2025</w:t>
      </w:r>
      <w:r>
        <w:t xml:space="preserve"> from </w:t>
      </w:r>
      <w:r w:rsidRPr="001E0CE3">
        <w:t> </w:t>
      </w:r>
      <w:hyperlink r:id="rId8" w:tgtFrame="_blank" w:history="1">
        <w:r w:rsidRPr="001E0CE3">
          <w:rPr>
            <w:rStyle w:val="Hyperlink"/>
          </w:rPr>
          <w:t>https://learnercentered.org/blog/traditional-grading-to-competency-based-assessment/</w:t>
        </w:r>
      </w:hyperlink>
      <w:r w:rsidRPr="001E0CE3">
        <w:t>. </w:t>
      </w:r>
    </w:p>
    <w:p w14:paraId="137D5F04" w14:textId="77777777" w:rsidR="001E0CE3" w:rsidRDefault="001E0CE3" w:rsidP="001E0CE3"/>
    <w:p w14:paraId="74BCE335" w14:textId="165C752F" w:rsidR="00770CC3" w:rsidRDefault="00770CC3" w:rsidP="001E0CE3">
      <w:r w:rsidRPr="00770CC3">
        <w:rPr>
          <w:lang w:val="it-IT"/>
        </w:rPr>
        <w:t xml:space="preserve">Hanson, Bryanna.  </w:t>
      </w:r>
      <w:r w:rsidRPr="00770CC3">
        <w:t>Not all rubrics are c</w:t>
      </w:r>
      <w:r>
        <w:t xml:space="preserve">reated equal:  How competency-based progressions are the way to go.  </w:t>
      </w:r>
      <w:r w:rsidRPr="00770CC3">
        <w:rPr>
          <w:i/>
          <w:iCs/>
        </w:rPr>
        <w:t>Learner-centered collaborative.</w:t>
      </w:r>
      <w:r>
        <w:t xml:space="preserve">  Retrieved October 21, 2025 from </w:t>
      </w:r>
      <w:hyperlink r:id="rId9" w:history="1">
        <w:r w:rsidRPr="0022245F">
          <w:rPr>
            <w:rStyle w:val="Hyperlink"/>
          </w:rPr>
          <w:t>https://learnercentered.org/blog/not-all-rubrics-are-created-equal-how-competency-based-progressions-are-the-way-to-go/</w:t>
        </w:r>
      </w:hyperlink>
    </w:p>
    <w:p w14:paraId="03272B17" w14:textId="77777777" w:rsidR="00770CC3" w:rsidRPr="00770CC3" w:rsidRDefault="00770CC3" w:rsidP="001E0CE3"/>
    <w:p w14:paraId="7FF5B68C" w14:textId="13B7296C" w:rsidR="001E0CE3" w:rsidRDefault="001E0CE3" w:rsidP="001E0CE3">
      <w:r w:rsidRPr="00770CC3">
        <w:t xml:space="preserve">Pitzer, Lisa (2025).  </w:t>
      </w:r>
      <w:r>
        <w:t xml:space="preserve">Grading for growth:  Reconsidering points, purpose, and proficiency.  </w:t>
      </w:r>
      <w:r>
        <w:rPr>
          <w:i/>
          <w:iCs/>
        </w:rPr>
        <w:t xml:space="preserve">Faculty Focus.  </w:t>
      </w:r>
      <w:r>
        <w:t xml:space="preserve">Retrieved October 21, 2025 from </w:t>
      </w:r>
      <w:hyperlink r:id="rId10" w:history="1">
        <w:r w:rsidRPr="001E4BD5">
          <w:rPr>
            <w:rStyle w:val="Hyperlink"/>
          </w:rPr>
          <w:t>https://www.facultyfocus.com/articles/educational-assessment/grading-for-growth-reconsidering-points-purpose-and-proficiency/</w:t>
        </w:r>
      </w:hyperlink>
    </w:p>
    <w:p w14:paraId="4204E084" w14:textId="77777777" w:rsidR="00CA63A4" w:rsidRDefault="00CA63A4" w:rsidP="00B35326">
      <w:pPr>
        <w:rPr>
          <w:b/>
          <w:bCs/>
        </w:rPr>
      </w:pPr>
    </w:p>
    <w:p w14:paraId="727FD848" w14:textId="77777777" w:rsidR="00CA63A4" w:rsidRDefault="00CA63A4" w:rsidP="00B35326">
      <w:pPr>
        <w:rPr>
          <w:b/>
          <w:bCs/>
        </w:rPr>
      </w:pPr>
    </w:p>
    <w:p w14:paraId="05D73386" w14:textId="77777777" w:rsidR="00CA63A4" w:rsidRDefault="00B35326" w:rsidP="00CA63A4">
      <w:r>
        <w:rPr>
          <w:b/>
          <w:bCs/>
        </w:rPr>
        <w:t>Check out!</w:t>
      </w:r>
      <w:r>
        <w:t>: </w:t>
      </w:r>
    </w:p>
    <w:p w14:paraId="59772A1D" w14:textId="77777777" w:rsidR="00CA63A4" w:rsidRDefault="00CA63A4" w:rsidP="00CA63A4"/>
    <w:p w14:paraId="32199337" w14:textId="506B38FA" w:rsidR="00AF574A" w:rsidRDefault="00256F37" w:rsidP="00B35326">
      <w:r>
        <w:t xml:space="preserve">Pitzer, Lisa (2025).  Grading for growth:  Reconsidering points, purpose, and proficiency.  </w:t>
      </w:r>
      <w:r>
        <w:rPr>
          <w:i/>
          <w:iCs/>
        </w:rPr>
        <w:t xml:space="preserve">Faculty Focus.  </w:t>
      </w:r>
      <w:r>
        <w:t xml:space="preserve">Retrieved October 21, 2025 from </w:t>
      </w:r>
      <w:hyperlink r:id="rId11" w:history="1">
        <w:r w:rsidRPr="001E4BD5">
          <w:rPr>
            <w:rStyle w:val="Hyperlink"/>
          </w:rPr>
          <w:t>https://www.facultyfocus.com/articles/educational-assessment/grading-for-growth-reconsidering-points-purpose-and-proficiency/</w:t>
        </w:r>
      </w:hyperlink>
    </w:p>
    <w:p w14:paraId="608CEAF6" w14:textId="77777777" w:rsidR="00256F37" w:rsidRPr="00256F37" w:rsidRDefault="00256F37" w:rsidP="00B35326"/>
    <w:p w14:paraId="185120EA" w14:textId="16743A73" w:rsidR="00D94374" w:rsidRPr="00D94374" w:rsidRDefault="008A37E9" w:rsidP="00B35326">
      <w:r>
        <w:rPr>
          <w:b/>
          <w:bCs/>
        </w:rPr>
        <w:t xml:space="preserve">Reminder:  </w:t>
      </w:r>
      <w:r w:rsidR="00D94374">
        <w:t xml:space="preserve">Please remember that all programs are asked to directly assess two of their program-level, student-learning objectives each semester and submit an end-of-semester report about their assessment methods, findings, and use of assessment results.  It is important to meet with your colleagues to develop program assessment plans, </w:t>
      </w:r>
      <w:r w:rsidR="00FA42FB">
        <w:t xml:space="preserve">and discuss findings and recommendations based on </w:t>
      </w:r>
      <w:r w:rsidR="001911BB">
        <w:t xml:space="preserve">the </w:t>
      </w:r>
      <w:r w:rsidR="00FA42FB">
        <w:t xml:space="preserve">findings.  </w:t>
      </w:r>
      <w:r w:rsidR="00D94374">
        <w:t xml:space="preserve">If you have </w:t>
      </w:r>
      <w:r w:rsidR="001911BB">
        <w:t>any</w:t>
      </w:r>
      <w:r w:rsidR="00D94374">
        <w:t xml:space="preserve"> questions about your Fall assessment </w:t>
      </w:r>
      <w:r w:rsidR="00FA42FB">
        <w:t>activities,</w:t>
      </w:r>
      <w:r w:rsidR="00D94374">
        <w:t xml:space="preserve"> please contact me.  </w:t>
      </w:r>
    </w:p>
    <w:p w14:paraId="6FBB5104" w14:textId="77777777" w:rsidR="00D94374" w:rsidRDefault="00D94374" w:rsidP="00B35326"/>
    <w:p w14:paraId="2470CEC1" w14:textId="7B686A1A" w:rsidR="008A37E9" w:rsidRDefault="00961FC7" w:rsidP="00B35326">
      <w:hyperlink r:id="rId12" w:history="1">
        <w:r w:rsidRPr="009E3550">
          <w:rPr>
            <w:rStyle w:val="Hyperlink"/>
          </w:rPr>
          <w:t>Rachel.Ebner@yu.edu</w:t>
        </w:r>
      </w:hyperlink>
    </w:p>
    <w:p w14:paraId="1D14A53E" w14:textId="77777777" w:rsidR="00961FC7" w:rsidRPr="00163163" w:rsidRDefault="00961FC7" w:rsidP="00B35326"/>
    <w:p w14:paraId="2CB4769F" w14:textId="77777777" w:rsidR="00B35326" w:rsidRPr="0033506E" w:rsidRDefault="00B35326" w:rsidP="00B35326"/>
    <w:p w14:paraId="223788AE" w14:textId="77777777" w:rsidR="00B35326" w:rsidRDefault="00B35326" w:rsidP="00B35326">
      <w:pPr>
        <w:rPr>
          <w:sz w:val="22"/>
          <w:szCs w:val="22"/>
        </w:rPr>
      </w:pPr>
    </w:p>
    <w:p w14:paraId="2DA10DB4" w14:textId="77777777" w:rsidR="00B35326" w:rsidRDefault="00B35326" w:rsidP="00B35326"/>
    <w:p w14:paraId="1657203E" w14:textId="1FB08B03" w:rsidR="00554569" w:rsidRDefault="00554569" w:rsidP="00AE3DBE">
      <w:pPr>
        <w:rPr>
          <w:b/>
          <w:bCs/>
        </w:rPr>
      </w:pPr>
    </w:p>
    <w:p w14:paraId="74CBA064" w14:textId="77777777" w:rsidR="00554569" w:rsidRDefault="00554569" w:rsidP="00AE3DBE">
      <w:pPr>
        <w:rPr>
          <w:b/>
          <w:bCs/>
        </w:rPr>
      </w:pPr>
    </w:p>
    <w:p w14:paraId="04422C95" w14:textId="2D3C8AD6" w:rsidR="00B42790" w:rsidRDefault="00B42790" w:rsidP="00C234DD">
      <w:pPr>
        <w:pStyle w:val="NormalWeb"/>
      </w:pPr>
    </w:p>
    <w:sectPr w:rsidR="00B42790" w:rsidSect="00F851D6">
      <w:headerReference w:type="default" r:id="rId13"/>
      <w:footerReference w:type="default" r:id="rId14"/>
      <w:pgSz w:w="12240" w:h="15840"/>
      <w:pgMar w:top="2520" w:right="1800" w:bottom="1440" w:left="1800" w:header="540" w:footer="1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F5C4D" w14:textId="77777777" w:rsidR="00043A83" w:rsidRDefault="00043A83" w:rsidP="0003540F">
      <w:r>
        <w:separator/>
      </w:r>
    </w:p>
  </w:endnote>
  <w:endnote w:type="continuationSeparator" w:id="0">
    <w:p w14:paraId="32DEAF8C" w14:textId="77777777" w:rsidR="00043A83" w:rsidRDefault="00043A83" w:rsidP="0003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8B91" w14:textId="54F5A1A4" w:rsidR="00B85973" w:rsidRPr="00B35326" w:rsidRDefault="009C65C2" w:rsidP="00B35326">
    <w:pPr>
      <w:pStyle w:val="Footer"/>
      <w:tabs>
        <w:tab w:val="clear" w:pos="4320"/>
        <w:tab w:val="clear" w:pos="8640"/>
        <w:tab w:val="center" w:pos="4680"/>
        <w:tab w:val="right" w:pos="9360"/>
      </w:tabs>
      <w:rPr>
        <w:rFonts w:ascii="Arial" w:hAnsi="Arial"/>
        <w:bCs/>
      </w:rPr>
    </w:pPr>
    <w:r>
      <w:rPr>
        <w:noProof/>
        <w:lang w:eastAsia="en-US"/>
      </w:rPr>
      <w:drawing>
        <wp:anchor distT="0" distB="0" distL="114300" distR="114300" simplePos="0" relativeHeight="251668480" behindDoc="0" locked="0" layoutInCell="1" allowOverlap="0" wp14:anchorId="5F7BA05C" wp14:editId="27188716">
          <wp:simplePos x="0" y="0"/>
          <wp:positionH relativeFrom="margin">
            <wp:align>center</wp:align>
          </wp:positionH>
          <wp:positionV relativeFrom="page">
            <wp:posOffset>9125585</wp:posOffset>
          </wp:positionV>
          <wp:extent cx="2515870" cy="4603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_YU_Shield_C.eps"/>
                  <pic:cNvPicPr/>
                </pic:nvPicPr>
                <pic:blipFill>
                  <a:blip r:embed="rId1">
                    <a:extLst>
                      <a:ext uri="{28A0092B-C50C-407E-A947-70E740481C1C}">
                        <a14:useLocalDpi xmlns:a14="http://schemas.microsoft.com/office/drawing/2010/main" val="0"/>
                      </a:ext>
                    </a:extLst>
                  </a:blip>
                  <a:stretch>
                    <a:fillRect/>
                  </a:stretch>
                </pic:blipFill>
                <pic:spPr>
                  <a:xfrm>
                    <a:off x="0" y="0"/>
                    <a:ext cx="2515870" cy="460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D001" w14:textId="77777777" w:rsidR="00043A83" w:rsidRDefault="00043A83" w:rsidP="0003540F">
      <w:r>
        <w:separator/>
      </w:r>
    </w:p>
  </w:footnote>
  <w:footnote w:type="continuationSeparator" w:id="0">
    <w:p w14:paraId="0E32EBB8" w14:textId="77777777" w:rsidR="00043A83" w:rsidRDefault="00043A83" w:rsidP="0003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7A51" w14:textId="4E869C6D" w:rsidR="00B85973" w:rsidRDefault="00B85973" w:rsidP="00051223">
    <w:pPr>
      <w:pStyle w:val="Header"/>
      <w:tabs>
        <w:tab w:val="clear" w:pos="4320"/>
        <w:tab w:val="left" w:pos="3260"/>
      </w:tabs>
      <w:jc w:val="center"/>
    </w:pPr>
    <w:r>
      <w:rPr>
        <w:noProof/>
        <w:lang w:eastAsia="en-US"/>
      </w:rPr>
      <w:drawing>
        <wp:anchor distT="0" distB="0" distL="114300" distR="114300" simplePos="0" relativeHeight="251666432" behindDoc="1" locked="0" layoutInCell="1" allowOverlap="1" wp14:anchorId="64F9CC63" wp14:editId="159C9E2C">
          <wp:simplePos x="0" y="0"/>
          <wp:positionH relativeFrom="margin">
            <wp:posOffset>415925</wp:posOffset>
          </wp:positionH>
          <wp:positionV relativeFrom="paragraph">
            <wp:posOffset>0</wp:posOffset>
          </wp:positionV>
          <wp:extent cx="4779264" cy="1060704"/>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_Assessment_Header4.jpg"/>
                  <pic:cNvPicPr/>
                </pic:nvPicPr>
                <pic:blipFill>
                  <a:blip r:embed="rId1">
                    <a:extLst>
                      <a:ext uri="{28A0092B-C50C-407E-A947-70E740481C1C}">
                        <a14:useLocalDpi xmlns:a14="http://schemas.microsoft.com/office/drawing/2010/main" val="0"/>
                      </a:ext>
                    </a:extLst>
                  </a:blip>
                  <a:stretch>
                    <a:fillRect/>
                  </a:stretch>
                </pic:blipFill>
                <pic:spPr>
                  <a:xfrm>
                    <a:off x="0" y="0"/>
                    <a:ext cx="4779264" cy="10607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078"/>
    <w:multiLevelType w:val="hybridMultilevel"/>
    <w:tmpl w:val="9C7E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A68E4"/>
    <w:multiLevelType w:val="hybridMultilevel"/>
    <w:tmpl w:val="8F02A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135D29"/>
    <w:multiLevelType w:val="hybridMultilevel"/>
    <w:tmpl w:val="519C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6159F"/>
    <w:multiLevelType w:val="hybridMultilevel"/>
    <w:tmpl w:val="5560B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F42C5D"/>
    <w:multiLevelType w:val="hybridMultilevel"/>
    <w:tmpl w:val="75DCEEAA"/>
    <w:lvl w:ilvl="0" w:tplc="E86E51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D0228"/>
    <w:multiLevelType w:val="hybridMultilevel"/>
    <w:tmpl w:val="92184F7E"/>
    <w:lvl w:ilvl="0" w:tplc="08867EE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D2061E"/>
    <w:multiLevelType w:val="hybridMultilevel"/>
    <w:tmpl w:val="C34CE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F2F0752"/>
    <w:multiLevelType w:val="multilevel"/>
    <w:tmpl w:val="1BA8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66706">
    <w:abstractNumId w:val="3"/>
  </w:num>
  <w:num w:numId="2" w16cid:durableId="697588137">
    <w:abstractNumId w:val="5"/>
  </w:num>
  <w:num w:numId="3" w16cid:durableId="302004235">
    <w:abstractNumId w:val="2"/>
  </w:num>
  <w:num w:numId="4" w16cid:durableId="79908254">
    <w:abstractNumId w:val="4"/>
  </w:num>
  <w:num w:numId="5" w16cid:durableId="1131090201">
    <w:abstractNumId w:val="1"/>
  </w:num>
  <w:num w:numId="6" w16cid:durableId="1266420498">
    <w:abstractNumId w:val="6"/>
  </w:num>
  <w:num w:numId="7" w16cid:durableId="624893810">
    <w:abstractNumId w:val="7"/>
  </w:num>
  <w:num w:numId="8" w16cid:durableId="18645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0F"/>
    <w:rsid w:val="0003540F"/>
    <w:rsid w:val="00040A87"/>
    <w:rsid w:val="00043A83"/>
    <w:rsid w:val="00051223"/>
    <w:rsid w:val="00054E1E"/>
    <w:rsid w:val="00060E03"/>
    <w:rsid w:val="00064DC0"/>
    <w:rsid w:val="00076027"/>
    <w:rsid w:val="000960A6"/>
    <w:rsid w:val="0012592D"/>
    <w:rsid w:val="00163163"/>
    <w:rsid w:val="0018467D"/>
    <w:rsid w:val="001911BB"/>
    <w:rsid w:val="00197247"/>
    <w:rsid w:val="001B001F"/>
    <w:rsid w:val="001E0CE3"/>
    <w:rsid w:val="001E35D3"/>
    <w:rsid w:val="0023399E"/>
    <w:rsid w:val="00256F37"/>
    <w:rsid w:val="00262AF0"/>
    <w:rsid w:val="002945F0"/>
    <w:rsid w:val="002A098C"/>
    <w:rsid w:val="002C1B1B"/>
    <w:rsid w:val="002C27AC"/>
    <w:rsid w:val="002C72E9"/>
    <w:rsid w:val="002D22D4"/>
    <w:rsid w:val="00311671"/>
    <w:rsid w:val="003376F7"/>
    <w:rsid w:val="00342B31"/>
    <w:rsid w:val="0035069F"/>
    <w:rsid w:val="003617FC"/>
    <w:rsid w:val="00375527"/>
    <w:rsid w:val="003B2F09"/>
    <w:rsid w:val="003B7AD6"/>
    <w:rsid w:val="003E4970"/>
    <w:rsid w:val="003E79F5"/>
    <w:rsid w:val="0044634B"/>
    <w:rsid w:val="00454D51"/>
    <w:rsid w:val="00461CEA"/>
    <w:rsid w:val="004A4FD3"/>
    <w:rsid w:val="004B270B"/>
    <w:rsid w:val="004F4BC0"/>
    <w:rsid w:val="00501E6A"/>
    <w:rsid w:val="00506EAE"/>
    <w:rsid w:val="0053075E"/>
    <w:rsid w:val="00554569"/>
    <w:rsid w:val="005742DB"/>
    <w:rsid w:val="00575654"/>
    <w:rsid w:val="0059632E"/>
    <w:rsid w:val="0059723D"/>
    <w:rsid w:val="005B57AF"/>
    <w:rsid w:val="005D5FB4"/>
    <w:rsid w:val="005E733A"/>
    <w:rsid w:val="005F7D1A"/>
    <w:rsid w:val="00600ACF"/>
    <w:rsid w:val="00607796"/>
    <w:rsid w:val="006219C8"/>
    <w:rsid w:val="00652892"/>
    <w:rsid w:val="00675B72"/>
    <w:rsid w:val="0069726F"/>
    <w:rsid w:val="006B6DDE"/>
    <w:rsid w:val="006D3F49"/>
    <w:rsid w:val="006F2F0A"/>
    <w:rsid w:val="00710796"/>
    <w:rsid w:val="00720B65"/>
    <w:rsid w:val="00724331"/>
    <w:rsid w:val="00743851"/>
    <w:rsid w:val="00770CC3"/>
    <w:rsid w:val="00776A31"/>
    <w:rsid w:val="007846F7"/>
    <w:rsid w:val="007A6DB4"/>
    <w:rsid w:val="007B0F52"/>
    <w:rsid w:val="00817D9F"/>
    <w:rsid w:val="00823F18"/>
    <w:rsid w:val="008337FD"/>
    <w:rsid w:val="00853E38"/>
    <w:rsid w:val="008A37E9"/>
    <w:rsid w:val="008A3A8C"/>
    <w:rsid w:val="008E22D3"/>
    <w:rsid w:val="009027D8"/>
    <w:rsid w:val="0091471B"/>
    <w:rsid w:val="009173DB"/>
    <w:rsid w:val="009227CD"/>
    <w:rsid w:val="0093457C"/>
    <w:rsid w:val="00936D4F"/>
    <w:rsid w:val="00945EC3"/>
    <w:rsid w:val="009607E0"/>
    <w:rsid w:val="00961FC7"/>
    <w:rsid w:val="00984A55"/>
    <w:rsid w:val="00987723"/>
    <w:rsid w:val="009B3041"/>
    <w:rsid w:val="009C4287"/>
    <w:rsid w:val="009C65C2"/>
    <w:rsid w:val="009C7BA7"/>
    <w:rsid w:val="009D34A9"/>
    <w:rsid w:val="009E1A77"/>
    <w:rsid w:val="00A038C4"/>
    <w:rsid w:val="00A153F2"/>
    <w:rsid w:val="00A21D54"/>
    <w:rsid w:val="00A36CCB"/>
    <w:rsid w:val="00A72CC8"/>
    <w:rsid w:val="00AA19D3"/>
    <w:rsid w:val="00AA1AA8"/>
    <w:rsid w:val="00AA5BC8"/>
    <w:rsid w:val="00AA686D"/>
    <w:rsid w:val="00AB3FA8"/>
    <w:rsid w:val="00AE3DBE"/>
    <w:rsid w:val="00AE75A4"/>
    <w:rsid w:val="00AF574A"/>
    <w:rsid w:val="00B111F6"/>
    <w:rsid w:val="00B3117A"/>
    <w:rsid w:val="00B31D23"/>
    <w:rsid w:val="00B35326"/>
    <w:rsid w:val="00B41AEC"/>
    <w:rsid w:val="00B42790"/>
    <w:rsid w:val="00B4397B"/>
    <w:rsid w:val="00B73E38"/>
    <w:rsid w:val="00B85973"/>
    <w:rsid w:val="00B90243"/>
    <w:rsid w:val="00B95614"/>
    <w:rsid w:val="00BA0EC6"/>
    <w:rsid w:val="00BC4039"/>
    <w:rsid w:val="00C00AC2"/>
    <w:rsid w:val="00C02B2A"/>
    <w:rsid w:val="00C0444C"/>
    <w:rsid w:val="00C0607F"/>
    <w:rsid w:val="00C10087"/>
    <w:rsid w:val="00C2294F"/>
    <w:rsid w:val="00C234DD"/>
    <w:rsid w:val="00C4593E"/>
    <w:rsid w:val="00C51D2E"/>
    <w:rsid w:val="00C61F6A"/>
    <w:rsid w:val="00C70223"/>
    <w:rsid w:val="00C71EDD"/>
    <w:rsid w:val="00C771AC"/>
    <w:rsid w:val="00CA63A4"/>
    <w:rsid w:val="00CB24E8"/>
    <w:rsid w:val="00CB3792"/>
    <w:rsid w:val="00CC39D6"/>
    <w:rsid w:val="00CC7A33"/>
    <w:rsid w:val="00CD000A"/>
    <w:rsid w:val="00CD081A"/>
    <w:rsid w:val="00CE6782"/>
    <w:rsid w:val="00D129B7"/>
    <w:rsid w:val="00D51EC2"/>
    <w:rsid w:val="00D94374"/>
    <w:rsid w:val="00DA2B1E"/>
    <w:rsid w:val="00DA2EB0"/>
    <w:rsid w:val="00DB3CC9"/>
    <w:rsid w:val="00DD3348"/>
    <w:rsid w:val="00DF2236"/>
    <w:rsid w:val="00DF3DCE"/>
    <w:rsid w:val="00E220C2"/>
    <w:rsid w:val="00E25464"/>
    <w:rsid w:val="00E3343B"/>
    <w:rsid w:val="00E5608E"/>
    <w:rsid w:val="00E83B46"/>
    <w:rsid w:val="00E900DD"/>
    <w:rsid w:val="00E950F0"/>
    <w:rsid w:val="00EE1AC0"/>
    <w:rsid w:val="00EE2475"/>
    <w:rsid w:val="00EE4503"/>
    <w:rsid w:val="00F14E29"/>
    <w:rsid w:val="00F851D6"/>
    <w:rsid w:val="00F9405F"/>
    <w:rsid w:val="00FA42FB"/>
    <w:rsid w:val="00FB0F84"/>
    <w:rsid w:val="00FB4490"/>
    <w:rsid w:val="00FB5B88"/>
    <w:rsid w:val="00FC2BBB"/>
    <w:rsid w:val="00FC2EE5"/>
    <w:rsid w:val="00FD553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09C6549"/>
  <w15:docId w15:val="{9AB996E0-21B0-4361-8A5C-84716973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5F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40F"/>
    <w:pPr>
      <w:tabs>
        <w:tab w:val="center" w:pos="4320"/>
        <w:tab w:val="right" w:pos="8640"/>
      </w:tabs>
    </w:pPr>
  </w:style>
  <w:style w:type="character" w:customStyle="1" w:styleId="HeaderChar">
    <w:name w:val="Header Char"/>
    <w:basedOn w:val="DefaultParagraphFont"/>
    <w:link w:val="Header"/>
    <w:uiPriority w:val="99"/>
    <w:rsid w:val="0003540F"/>
    <w:rPr>
      <w:sz w:val="24"/>
      <w:szCs w:val="24"/>
    </w:rPr>
  </w:style>
  <w:style w:type="paragraph" w:styleId="Footer">
    <w:name w:val="footer"/>
    <w:basedOn w:val="Normal"/>
    <w:link w:val="FooterChar"/>
    <w:uiPriority w:val="99"/>
    <w:unhideWhenUsed/>
    <w:rsid w:val="0003540F"/>
    <w:pPr>
      <w:tabs>
        <w:tab w:val="center" w:pos="4320"/>
        <w:tab w:val="right" w:pos="8640"/>
      </w:tabs>
    </w:pPr>
  </w:style>
  <w:style w:type="character" w:customStyle="1" w:styleId="FooterChar">
    <w:name w:val="Footer Char"/>
    <w:basedOn w:val="DefaultParagraphFont"/>
    <w:link w:val="Footer"/>
    <w:uiPriority w:val="99"/>
    <w:rsid w:val="0003540F"/>
    <w:rPr>
      <w:sz w:val="24"/>
      <w:szCs w:val="24"/>
    </w:rPr>
  </w:style>
  <w:style w:type="paragraph" w:styleId="BalloonText">
    <w:name w:val="Balloon Text"/>
    <w:basedOn w:val="Normal"/>
    <w:link w:val="BalloonTextChar"/>
    <w:uiPriority w:val="99"/>
    <w:semiHidden/>
    <w:unhideWhenUsed/>
    <w:rsid w:val="000354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540F"/>
    <w:rPr>
      <w:rFonts w:ascii="Lucida Grande" w:hAnsi="Lucida Grande" w:cs="Lucida Grande"/>
      <w:sz w:val="18"/>
      <w:szCs w:val="18"/>
    </w:rPr>
  </w:style>
  <w:style w:type="character" w:styleId="Hyperlink">
    <w:name w:val="Hyperlink"/>
    <w:basedOn w:val="DefaultParagraphFont"/>
    <w:uiPriority w:val="99"/>
    <w:unhideWhenUsed/>
    <w:rsid w:val="00B3117A"/>
    <w:rPr>
      <w:color w:val="0000FF" w:themeColor="hyperlink"/>
      <w:u w:val="single"/>
    </w:rPr>
  </w:style>
  <w:style w:type="character" w:styleId="FollowedHyperlink">
    <w:name w:val="FollowedHyperlink"/>
    <w:basedOn w:val="DefaultParagraphFont"/>
    <w:uiPriority w:val="99"/>
    <w:semiHidden/>
    <w:unhideWhenUsed/>
    <w:rsid w:val="009B3041"/>
    <w:rPr>
      <w:color w:val="800080" w:themeColor="followedHyperlink"/>
      <w:u w:val="single"/>
    </w:rPr>
  </w:style>
  <w:style w:type="paragraph" w:styleId="NormalWeb">
    <w:name w:val="Normal (Web)"/>
    <w:basedOn w:val="Normal"/>
    <w:uiPriority w:val="99"/>
    <w:unhideWhenUsed/>
    <w:rsid w:val="00B42790"/>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AE3DBE"/>
    <w:pPr>
      <w:ind w:left="720"/>
      <w:contextualSpacing/>
    </w:pPr>
    <w:rPr>
      <w:rFonts w:ascii="Times New Roman" w:eastAsiaTheme="minorHAnsi" w:hAnsi="Times New Roman" w:cs="Times New Roman"/>
      <w:lang w:eastAsia="en-US"/>
    </w:rPr>
  </w:style>
  <w:style w:type="character" w:styleId="UnresolvedMention">
    <w:name w:val="Unresolved Mention"/>
    <w:basedOn w:val="DefaultParagraphFont"/>
    <w:uiPriority w:val="99"/>
    <w:semiHidden/>
    <w:unhideWhenUsed/>
    <w:rsid w:val="005E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3361">
      <w:bodyDiv w:val="1"/>
      <w:marLeft w:val="0"/>
      <w:marRight w:val="0"/>
      <w:marTop w:val="0"/>
      <w:marBottom w:val="0"/>
      <w:divBdr>
        <w:top w:val="none" w:sz="0" w:space="0" w:color="auto"/>
        <w:left w:val="none" w:sz="0" w:space="0" w:color="auto"/>
        <w:bottom w:val="none" w:sz="0" w:space="0" w:color="auto"/>
        <w:right w:val="none" w:sz="0" w:space="0" w:color="auto"/>
      </w:divBdr>
      <w:divsChild>
        <w:div w:id="1877228802">
          <w:marLeft w:val="0"/>
          <w:marRight w:val="0"/>
          <w:marTop w:val="0"/>
          <w:marBottom w:val="0"/>
          <w:divBdr>
            <w:top w:val="none" w:sz="0" w:space="0" w:color="auto"/>
            <w:left w:val="none" w:sz="0" w:space="0" w:color="auto"/>
            <w:bottom w:val="none" w:sz="0" w:space="0" w:color="auto"/>
            <w:right w:val="none" w:sz="0" w:space="0" w:color="auto"/>
          </w:divBdr>
        </w:div>
      </w:divsChild>
    </w:div>
    <w:div w:id="1644653449">
      <w:bodyDiv w:val="1"/>
      <w:marLeft w:val="0"/>
      <w:marRight w:val="0"/>
      <w:marTop w:val="0"/>
      <w:marBottom w:val="0"/>
      <w:divBdr>
        <w:top w:val="none" w:sz="0" w:space="0" w:color="auto"/>
        <w:left w:val="none" w:sz="0" w:space="0" w:color="auto"/>
        <w:bottom w:val="none" w:sz="0" w:space="0" w:color="auto"/>
        <w:right w:val="none" w:sz="0" w:space="0" w:color="auto"/>
      </w:divBdr>
      <w:divsChild>
        <w:div w:id="851258210">
          <w:marLeft w:val="0"/>
          <w:marRight w:val="0"/>
          <w:marTop w:val="0"/>
          <w:marBottom w:val="0"/>
          <w:divBdr>
            <w:top w:val="none" w:sz="0" w:space="0" w:color="auto"/>
            <w:left w:val="none" w:sz="0" w:space="0" w:color="auto"/>
            <w:bottom w:val="none" w:sz="0" w:space="0" w:color="auto"/>
            <w:right w:val="none" w:sz="0" w:space="0" w:color="auto"/>
          </w:divBdr>
        </w:div>
      </w:divsChild>
    </w:div>
    <w:div w:id="1864783775">
      <w:bodyDiv w:val="1"/>
      <w:marLeft w:val="0"/>
      <w:marRight w:val="0"/>
      <w:marTop w:val="0"/>
      <w:marBottom w:val="0"/>
      <w:divBdr>
        <w:top w:val="none" w:sz="0" w:space="0" w:color="auto"/>
        <w:left w:val="none" w:sz="0" w:space="0" w:color="auto"/>
        <w:bottom w:val="none" w:sz="0" w:space="0" w:color="auto"/>
        <w:right w:val="none" w:sz="0" w:space="0" w:color="auto"/>
      </w:divBdr>
    </w:div>
    <w:div w:id="2015103711">
      <w:bodyDiv w:val="1"/>
      <w:marLeft w:val="0"/>
      <w:marRight w:val="0"/>
      <w:marTop w:val="0"/>
      <w:marBottom w:val="0"/>
      <w:divBdr>
        <w:top w:val="none" w:sz="0" w:space="0" w:color="auto"/>
        <w:left w:val="none" w:sz="0" w:space="0" w:color="auto"/>
        <w:bottom w:val="none" w:sz="0" w:space="0" w:color="auto"/>
        <w:right w:val="none" w:sz="0" w:space="0" w:color="auto"/>
      </w:divBdr>
      <w:divsChild>
        <w:div w:id="1074006794">
          <w:marLeft w:val="0"/>
          <w:marRight w:val="0"/>
          <w:marTop w:val="0"/>
          <w:marBottom w:val="0"/>
          <w:divBdr>
            <w:top w:val="none" w:sz="0" w:space="0" w:color="auto"/>
            <w:left w:val="none" w:sz="0" w:space="0" w:color="auto"/>
            <w:bottom w:val="none" w:sz="0" w:space="0" w:color="auto"/>
            <w:right w:val="none" w:sz="0" w:space="0" w:color="auto"/>
          </w:divBdr>
        </w:div>
      </w:divsChild>
    </w:div>
    <w:div w:id="2096127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ercentered.org/blog/traditional-grading-to-competency-based-assessm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chel.Ebner@y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ultyfocus.com/articles/educational-assessment/grading-for-growth-reconsidering-points-purpose-and-proficien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ultyfocus.com/articles/educational-assessment/grading-for-growth-reconsidering-points-purpose-and-proficiency/" TargetMode="External"/><Relationship Id="rId4" Type="http://schemas.openxmlformats.org/officeDocument/2006/relationships/settings" Target="settings.xml"/><Relationship Id="rId9" Type="http://schemas.openxmlformats.org/officeDocument/2006/relationships/hyperlink" Target="https://learnercentered.org/blog/not-all-rubrics-are-created-equal-how-competency-based-progressions-are-the-way-to-g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B2970-092C-4C5E-B9B7-6A187B8A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3</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YU</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Rachel Ebner</cp:lastModifiedBy>
  <cp:revision>41</cp:revision>
  <dcterms:created xsi:type="dcterms:W3CDTF">2019-05-13T16:58:00Z</dcterms:created>
  <dcterms:modified xsi:type="dcterms:W3CDTF">2025-10-22T02:03:00Z</dcterms:modified>
</cp:coreProperties>
</file>