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E" w:rsidRDefault="00866CAE" w:rsidP="00866CAE">
      <w:pPr>
        <w:spacing w:before="100" w:beforeAutospacing="1" w:after="100" w:afterAutospacing="1"/>
        <w:rPr>
          <w:i/>
          <w:color w:val="000000"/>
        </w:rPr>
      </w:pPr>
      <w:r w:rsidRPr="00866CAE">
        <w:rPr>
          <w:i/>
          <w:color w:val="000000"/>
        </w:rPr>
        <w:t>This will be the first in a series of student learning assessment tips.  Please forward to any faculty members who may be interested.</w:t>
      </w:r>
    </w:p>
    <w:p w:rsidR="00866CAE" w:rsidRPr="00866CAE" w:rsidRDefault="00866CAE" w:rsidP="00866CAE">
      <w:pPr>
        <w:spacing w:before="100" w:beforeAutospacing="1" w:after="100" w:afterAutospacing="1"/>
        <w:rPr>
          <w:i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866CAE">
        <w:rPr>
          <w:rFonts w:ascii="Tahoma" w:eastAsia="Times New Roman" w:hAnsi="Tahoma" w:cs="Tahoma"/>
          <w:b/>
          <w:bCs/>
          <w:color w:val="000000"/>
          <w:sz w:val="22"/>
          <w:shd w:val="clear" w:color="auto" w:fill="FFFFFF"/>
        </w:rPr>
        <w:t>Assessment question:  </w:t>
      </w:r>
      <w:r w:rsidRPr="00866CAE">
        <w:rPr>
          <w:rFonts w:ascii="Tahoma" w:eastAsia="Times New Roman" w:hAnsi="Tahoma" w:cs="Tahoma"/>
          <w:color w:val="000000"/>
          <w:sz w:val="22"/>
        </w:rPr>
        <w:t>What is the difference between </w:t>
      </w:r>
      <w:r w:rsidRPr="00866CAE">
        <w:rPr>
          <w:rFonts w:ascii="Tahoma" w:eastAsia="Times New Roman" w:hAnsi="Tahoma" w:cs="Tahoma"/>
          <w:i/>
          <w:iCs/>
          <w:color w:val="000000"/>
          <w:sz w:val="22"/>
        </w:rPr>
        <w:t>direct</w:t>
      </w:r>
      <w:r w:rsidRPr="00866CAE">
        <w:rPr>
          <w:rFonts w:ascii="Tahoma" w:eastAsia="Times New Roman" w:hAnsi="Tahoma" w:cs="Tahoma"/>
          <w:color w:val="000000"/>
          <w:sz w:val="22"/>
        </w:rPr>
        <w:t> and </w:t>
      </w:r>
      <w:r w:rsidRPr="00866CAE">
        <w:rPr>
          <w:rFonts w:ascii="Tahoma" w:eastAsia="Times New Roman" w:hAnsi="Tahoma" w:cs="Tahoma"/>
          <w:i/>
          <w:iCs/>
          <w:color w:val="000000"/>
          <w:sz w:val="22"/>
        </w:rPr>
        <w:t>indirect </w:t>
      </w:r>
      <w:r w:rsidRPr="00866CAE">
        <w:rPr>
          <w:rFonts w:ascii="Tahoma" w:eastAsia="Times New Roman" w:hAnsi="Tahoma" w:cs="Tahoma"/>
          <w:color w:val="000000"/>
          <w:sz w:val="22"/>
        </w:rPr>
        <w:t>assessment evidence?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 Direct</w:t>
      </w:r>
      <w:proofErr w:type="gramEnd"/>
      <w:r>
        <w:rPr>
          <w:rFonts w:ascii="Tahoma" w:hAnsi="Tahoma" w:cs="Tahoma"/>
          <w:color w:val="000000"/>
        </w:rPr>
        <w:t xml:space="preserve"> assessment evidence (e.g., exams, projects, papers, portfolio assignments, oral presentations, fieldwork observations) is based on directly examining and measuring students’ performance 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 Indirect</w:t>
      </w:r>
      <w:proofErr w:type="gramEnd"/>
      <w:r>
        <w:rPr>
          <w:rFonts w:ascii="Tahoma" w:hAnsi="Tahoma" w:cs="Tahoma"/>
          <w:color w:val="000000"/>
        </w:rPr>
        <w:t xml:space="preserve"> assessment evidence (e.g., student course evaluations, surveys, and interviews) is based on students’ and/or faculty's' perceptions of students’ learning experiences and outcomes </w:t>
      </w:r>
    </w:p>
    <w:p w:rsidR="00866CAE" w:rsidRDefault="00866CAE" w:rsidP="00866CAE">
      <w:pPr>
        <w:spacing w:before="100" w:beforeAutospacing="1" w:after="100" w:afterAutospacing="1"/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Steps for making assessment data actionable!  </w:t>
      </w:r>
      <w:r>
        <w:rPr>
          <w:rStyle w:val="EndnoteReference"/>
          <w:rFonts w:ascii="Tahoma" w:hAnsi="Tahoma" w:cs="Tahoma"/>
          <w:b/>
          <w:bCs/>
          <w:color w:val="000000"/>
          <w:shd w:val="clear" w:color="auto" w:fill="FFFFFF"/>
        </w:rPr>
        <w:endnoteReference w:id="1"/>
      </w:r>
      <w:r>
        <w:rPr>
          <w:rFonts w:ascii="Tahoma" w:hAnsi="Tahoma" w:cs="Tahoma"/>
          <w:b/>
          <w:bCs/>
          <w:color w:val="000000"/>
          <w:shd w:val="clear" w:color="auto" w:fill="FFFFFF"/>
        </w:rPr>
        <w:br/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Assemble the right stakeholders (i.e., program heads and faculty, administrators):     Assessment should be a collaborative process!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Frame assessment as a form of inquiry:  Working together, develop meaningful assessment-related questions and identify specific types of direct and indirect assessment evidence that will be most meaningful for supporting student learning and achievement of learning objectives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Develop a who, what, when, where, and why plan of action for soliciting answers to assessment-related questions, collecting direct or indirect assessment evidence, and evaluating the information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Involve</w:t>
      </w:r>
      <w:proofErr w:type="gramEnd"/>
      <w:r>
        <w:rPr>
          <w:rFonts w:ascii="Tahoma" w:hAnsi="Tahoma" w:cs="Tahoma"/>
          <w:color w:val="000000"/>
        </w:rPr>
        <w:t xml:space="preserve"> the stakeholders in making sense of the data and explore its implications</w:t>
      </w:r>
    </w:p>
    <w:p w:rsidR="00866CAE" w:rsidRDefault="00866CAE" w:rsidP="00866CA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Communicate</w:t>
      </w:r>
      <w:proofErr w:type="gramEnd"/>
      <w:r>
        <w:rPr>
          <w:rFonts w:ascii="Tahoma" w:hAnsi="Tahoma" w:cs="Tahoma"/>
          <w:color w:val="000000"/>
        </w:rPr>
        <w:t xml:space="preserve"> the findings and take follow-up action!</w:t>
      </w:r>
    </w:p>
    <w:p w:rsidR="00EC48AB" w:rsidRPr="00866CAE" w:rsidRDefault="00866CAE" w:rsidP="00866CA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br/>
      </w:r>
      <w:proofErr w:type="gramStart"/>
      <w:r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>Suggested read:  </w:t>
      </w:r>
      <w:proofErr w:type="spellStart"/>
      <w:r>
        <w:rPr>
          <w:rFonts w:ascii="Tahoma" w:eastAsia="Times New Roman" w:hAnsi="Tahoma" w:cs="Tahoma"/>
          <w:color w:val="000000"/>
          <w:shd w:val="clear" w:color="auto" w:fill="FFFFFF"/>
        </w:rPr>
        <w:t>Kuh</w:t>
      </w:r>
      <w:proofErr w:type="spellEnd"/>
      <w:r>
        <w:rPr>
          <w:rFonts w:ascii="Tahoma" w:eastAsia="Times New Roman" w:hAnsi="Tahoma" w:cs="Tahoma"/>
          <w:color w:val="000000"/>
          <w:shd w:val="clear" w:color="auto" w:fill="FFFFFF"/>
        </w:rPr>
        <w:t>, George et al. (2015).</w:t>
      </w:r>
      <w:proofErr w:type="gramEnd"/>
      <w:r>
        <w:rPr>
          <w:rFonts w:ascii="Tahoma" w:eastAsia="Times New Roman" w:hAnsi="Tahoma" w:cs="Tahoma"/>
          <w:color w:val="000000"/>
          <w:shd w:val="clear" w:color="auto" w:fill="FFFFFF"/>
        </w:rPr>
        <w:t>  </w:t>
      </w:r>
      <w:hyperlink r:id="rId7" w:tgtFrame="_blank" w:history="1">
        <w:r>
          <w:rPr>
            <w:rStyle w:val="Hyperlink"/>
            <w:rFonts w:ascii="Calibri" w:eastAsia="Times New Roman" w:hAnsi="Calibri" w:cs="Tahoma"/>
            <w:color w:val="1155CC"/>
            <w:shd w:val="clear" w:color="auto" w:fill="FFFFFF"/>
          </w:rPr>
          <w:t>Beyond compliance: Making assessment matter.</w:t>
        </w:r>
        <w:r>
          <w:rPr>
            <w:rStyle w:val="Hyperlink"/>
            <w:rFonts w:ascii="Tahoma" w:eastAsia="Times New Roman" w:hAnsi="Tahoma" w:cs="Tahoma"/>
            <w:color w:val="1155CC"/>
            <w:u w:val="none"/>
            <w:shd w:val="clear" w:color="auto" w:fill="FFFFFF"/>
          </w:rPr>
          <w:t> </w:t>
        </w:r>
      </w:hyperlink>
      <w:hyperlink r:id="rId8" w:tgtFrame="_blank" w:history="1">
        <w:r>
          <w:rPr>
            <w:rStyle w:val="Hyperlink"/>
            <w:rFonts w:ascii="Calibri" w:eastAsia="Times New Roman" w:hAnsi="Calibri" w:cs="Tahoma"/>
            <w:i/>
            <w:iCs/>
            <w:color w:val="1155CC"/>
            <w:shd w:val="clear" w:color="auto" w:fill="FFFFFF"/>
          </w:rPr>
          <w:t>The Change: </w:t>
        </w:r>
        <w:r>
          <w:rPr>
            <w:rStyle w:val="Hyperlink"/>
            <w:rFonts w:ascii="Tahoma" w:eastAsia="Times New Roman" w:hAnsi="Tahoma" w:cs="Tahoma"/>
            <w:i/>
            <w:iCs/>
            <w:color w:val="1155CC"/>
            <w:u w:val="none"/>
            <w:shd w:val="clear" w:color="auto" w:fill="FFFFFF"/>
          </w:rPr>
          <w:t> </w:t>
        </w:r>
        <w:r>
          <w:rPr>
            <w:rStyle w:val="Hyperlink"/>
            <w:rFonts w:ascii="Calibri" w:eastAsia="Times New Roman" w:hAnsi="Calibri" w:cs="Tahoma"/>
            <w:i/>
            <w:iCs/>
            <w:color w:val="1155CC"/>
            <w:shd w:val="clear" w:color="auto" w:fill="FFFFFF"/>
          </w:rPr>
          <w:t>The Magazine of Higher Learning</w:t>
        </w:r>
      </w:hyperlink>
      <w:r>
        <w:rPr>
          <w:rFonts w:ascii="Tahoma" w:eastAsia="Times New Roman" w:hAnsi="Tahoma" w:cs="Tahoma"/>
          <w:color w:val="000000"/>
          <w:shd w:val="clear" w:color="auto" w:fill="FFFFFF"/>
        </w:rPr>
        <w:t>.  Retrieved Nov. 25, 2015 from </w:t>
      </w:r>
      <w:hyperlink r:id="rId9" w:tgtFrame="_blank" w:history="1">
        <w:r>
          <w:rPr>
            <w:rStyle w:val="Hyperlink"/>
            <w:rFonts w:ascii="Calibri" w:eastAsia="Times New Roman" w:hAnsi="Calibri" w:cs="Tahoma"/>
            <w:color w:val="1155CC"/>
            <w:shd w:val="clear" w:color="auto" w:fill="FFFFFF"/>
          </w:rPr>
          <w:t>http://www.changemag.org/Archives/Back%20Issues/2015/September-October%202015/assessment_full.html</w:t>
        </w:r>
      </w:hyperlink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hd w:val="clear" w:color="auto" w:fill="FFFFFF"/>
        </w:rPr>
        <w:br/>
      </w:r>
    </w:p>
    <w:sectPr w:rsidR="00EC48AB" w:rsidRPr="00866CAE" w:rsidSect="00EC4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B0" w:rsidRDefault="00560FB0" w:rsidP="00866CAE">
      <w:r>
        <w:separator/>
      </w:r>
    </w:p>
  </w:endnote>
  <w:endnote w:type="continuationSeparator" w:id="0">
    <w:p w:rsidR="00560FB0" w:rsidRDefault="00560FB0" w:rsidP="00866CAE">
      <w:r>
        <w:continuationSeparator/>
      </w:r>
    </w:p>
  </w:endnote>
  <w:endnote w:id="1">
    <w:p w:rsidR="00866CAE" w:rsidRPr="00866CAE" w:rsidRDefault="00866CAE" w:rsidP="00866CAE">
      <w:pPr>
        <w:shd w:val="clear" w:color="auto" w:fill="FFFFFF"/>
        <w:spacing w:before="100" w:beforeAutospacing="1" w:after="100" w:afterAutospacing="1"/>
        <w:ind w:left="945"/>
        <w:rPr>
          <w:color w:val="000000"/>
        </w:rPr>
      </w:pPr>
      <w:r>
        <w:rPr>
          <w:rStyle w:val="EndnoteReference"/>
        </w:rPr>
        <w:endnoteRef/>
      </w:r>
      <w:r>
        <w:t xml:space="preserve"> </w:t>
      </w:r>
      <w:r w:rsidRPr="00866CAE">
        <w:rPr>
          <w:rFonts w:ascii="Tahoma" w:hAnsi="Tahoma" w:cs="Tahoma"/>
          <w:color w:val="000000"/>
          <w:sz w:val="20"/>
          <w:shd w:val="clear" w:color="auto" w:fill="FFFFFF"/>
        </w:rPr>
        <w:t xml:space="preserve">adapted from </w:t>
      </w:r>
      <w:proofErr w:type="spellStart"/>
      <w:r w:rsidRPr="00866CAE">
        <w:rPr>
          <w:rFonts w:ascii="Tahoma" w:hAnsi="Tahoma" w:cs="Tahoma"/>
          <w:color w:val="000000"/>
          <w:sz w:val="20"/>
          <w:shd w:val="clear" w:color="auto" w:fill="FFFFFF"/>
        </w:rPr>
        <w:t>Kuh</w:t>
      </w:r>
      <w:proofErr w:type="spellEnd"/>
      <w:r w:rsidRPr="00866CAE">
        <w:rPr>
          <w:rFonts w:ascii="Tahoma" w:hAnsi="Tahoma" w:cs="Tahoma"/>
          <w:color w:val="000000"/>
          <w:sz w:val="20"/>
          <w:shd w:val="clear" w:color="auto" w:fill="FFFFFF"/>
        </w:rPr>
        <w:t>, G. et al. (2015)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B0" w:rsidRDefault="00560FB0" w:rsidP="00866CAE">
      <w:r>
        <w:separator/>
      </w:r>
    </w:p>
  </w:footnote>
  <w:footnote w:type="continuationSeparator" w:id="0">
    <w:p w:rsidR="00560FB0" w:rsidRDefault="00560FB0" w:rsidP="0086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 w:rsidP="00866CAE">
    <w:pPr>
      <w:pStyle w:val="Header"/>
      <w:jc w:val="center"/>
      <w:rPr>
        <w:sz w:val="28"/>
      </w:rPr>
    </w:pPr>
    <w:r w:rsidRPr="00866CAE">
      <w:rPr>
        <w:sz w:val="28"/>
      </w:rPr>
      <w:drawing>
        <wp:inline distT="0" distB="0" distL="0" distR="0">
          <wp:extent cx="2396490" cy="439601"/>
          <wp:effectExtent l="19050" t="0" r="3810" b="0"/>
          <wp:docPr id="1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CAE" w:rsidRPr="00BE78BC" w:rsidRDefault="00866CAE" w:rsidP="00866CAE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866CAE" w:rsidRDefault="00866CAE">
    <w:pPr>
      <w:pStyle w:val="Header"/>
    </w:pPr>
    <w:r>
      <w:rPr>
        <w:sz w:val="28"/>
      </w:rPr>
      <w:tab/>
    </w:r>
    <w:r>
      <w:rPr>
        <w:sz w:val="28"/>
      </w:rPr>
      <w:t>November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E" w:rsidRDefault="00866C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CAE"/>
    <w:rsid w:val="00560FB0"/>
    <w:rsid w:val="00866CAE"/>
    <w:rsid w:val="00EC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C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CAE"/>
  </w:style>
  <w:style w:type="paragraph" w:styleId="EndnoteText">
    <w:name w:val="endnote text"/>
    <w:basedOn w:val="Normal"/>
    <w:link w:val="EndnoteTextChar"/>
    <w:uiPriority w:val="99"/>
    <w:semiHidden/>
    <w:unhideWhenUsed/>
    <w:rsid w:val="00866C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CA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C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CA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mag.org/Archives/Back%20Issues/2015/September-October%202015/assessment_ful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angemag.org/Archives/Back%20Issues/2015/September-October%202015/assessment_full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ngemag.org/Archives/Back%20Issues/2015/September-October%202015/assessment_full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2418-BE02-45D4-98DF-56636204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1</cp:revision>
  <dcterms:created xsi:type="dcterms:W3CDTF">2016-03-08T20:32:00Z</dcterms:created>
  <dcterms:modified xsi:type="dcterms:W3CDTF">2016-03-08T20:39:00Z</dcterms:modified>
</cp:coreProperties>
</file>