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6F" w:rsidRDefault="00BA0E6F" w:rsidP="00BA0E6F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:rsidR="001558E6" w:rsidRDefault="001A0C12" w:rsidP="00BA0E6F">
      <w:pPr>
        <w:rPr>
          <w:b/>
          <w:bCs/>
        </w:rPr>
      </w:pPr>
      <w:r>
        <w:rPr>
          <w:b/>
          <w:bCs/>
        </w:rPr>
        <w:t>Curriculum Mapping</w:t>
      </w:r>
    </w:p>
    <w:p w:rsidR="001A0C12" w:rsidRDefault="001A0C12" w:rsidP="00BA0E6F">
      <w:pPr>
        <w:rPr>
          <w:b/>
          <w:bCs/>
        </w:rPr>
      </w:pPr>
    </w:p>
    <w:p w:rsidR="001A0C12" w:rsidRPr="00601AFC" w:rsidRDefault="001A0C12" w:rsidP="001A0C12">
      <w:pPr>
        <w:pStyle w:val="ListParagraph"/>
        <w:numPr>
          <w:ilvl w:val="1"/>
          <w:numId w:val="13"/>
        </w:numPr>
        <w:spacing w:after="200" w:line="276" w:lineRule="auto"/>
      </w:pPr>
      <w:r>
        <w:rPr>
          <w:b/>
        </w:rPr>
        <w:t xml:space="preserve">What is a curriculum map?  </w:t>
      </w:r>
    </w:p>
    <w:p w:rsidR="001A0C12" w:rsidRDefault="001A0C12" w:rsidP="001A0C12">
      <w:pPr>
        <w:pStyle w:val="ListParagraph"/>
        <w:ind w:left="1440"/>
        <w:rPr>
          <w:b/>
        </w:rPr>
      </w:pPr>
    </w:p>
    <w:p w:rsidR="001A0C12" w:rsidRDefault="001A0C12" w:rsidP="001A0C12">
      <w:pPr>
        <w:pStyle w:val="ListParagraph"/>
        <w:ind w:left="1440"/>
      </w:pPr>
      <w:r>
        <w:t>A grid that maps program-le</w:t>
      </w:r>
      <w:r w:rsidR="00FE4F2A">
        <w:t>vel courses onto program-level objectives</w:t>
      </w:r>
    </w:p>
    <w:p w:rsidR="001A0C12" w:rsidRDefault="001A0C12" w:rsidP="001A0C12">
      <w:pPr>
        <w:pStyle w:val="ListParagraph"/>
        <w:ind w:left="1440"/>
      </w:pPr>
    </w:p>
    <w:p w:rsidR="001A0C12" w:rsidRDefault="001A0C12" w:rsidP="001A0C12">
      <w:pPr>
        <w:pStyle w:val="ListParagraph"/>
        <w:numPr>
          <w:ilvl w:val="1"/>
          <w:numId w:val="13"/>
        </w:numPr>
        <w:spacing w:after="200" w:line="276" w:lineRule="auto"/>
      </w:pPr>
      <w:r>
        <w:rPr>
          <w:b/>
        </w:rPr>
        <w:t>Why create a curriculum map?</w:t>
      </w:r>
      <w:r>
        <w:t xml:space="preserve"> </w:t>
      </w:r>
    </w:p>
    <w:p w:rsidR="001A0C12" w:rsidRDefault="001A0C12" w:rsidP="001A0C12">
      <w:pPr>
        <w:pStyle w:val="ListParagraph"/>
        <w:ind w:left="1440"/>
      </w:pPr>
    </w:p>
    <w:p w:rsidR="00E37F77" w:rsidRDefault="001A0C12" w:rsidP="001A0C12">
      <w:pPr>
        <w:pStyle w:val="ListParagraph"/>
        <w:ind w:left="1440"/>
      </w:pPr>
      <w:r>
        <w:t xml:space="preserve">To verify that the program courses and experiences meet program- level </w:t>
      </w:r>
      <w:r w:rsidR="00FE4F2A">
        <w:t>objectives</w:t>
      </w:r>
    </w:p>
    <w:p w:rsidR="00FE4F2A" w:rsidRDefault="00FE4F2A" w:rsidP="001A0C12">
      <w:pPr>
        <w:pStyle w:val="ListParagraph"/>
        <w:ind w:left="1440"/>
      </w:pPr>
    </w:p>
    <w:p w:rsidR="00E37F77" w:rsidRDefault="00E37F77" w:rsidP="001A0C12">
      <w:pPr>
        <w:pStyle w:val="ListParagraph"/>
        <w:ind w:left="1440"/>
      </w:pPr>
      <w:r>
        <w:t xml:space="preserve">To ensure that the program is implementing a student-centered learning </w:t>
      </w:r>
      <w:r w:rsidR="00A270A1">
        <w:t>curriculum</w:t>
      </w:r>
    </w:p>
    <w:p w:rsidR="001A0C12" w:rsidRDefault="001A0C12" w:rsidP="001A0C12">
      <w:pPr>
        <w:pStyle w:val="ListParagraph"/>
        <w:ind w:left="1440"/>
      </w:pPr>
    </w:p>
    <w:p w:rsidR="001A0C12" w:rsidRDefault="001A0C12" w:rsidP="001A0C12">
      <w:pPr>
        <w:pStyle w:val="ListParagraph"/>
        <w:numPr>
          <w:ilvl w:val="1"/>
          <w:numId w:val="13"/>
        </w:numPr>
        <w:spacing w:after="200" w:line="276" w:lineRule="auto"/>
      </w:pPr>
      <w:r>
        <w:rPr>
          <w:b/>
        </w:rPr>
        <w:t xml:space="preserve">How should the map be used </w:t>
      </w:r>
      <w:r w:rsidRPr="007707D3">
        <w:rPr>
          <w:b/>
        </w:rPr>
        <w:t>to inform curriculum design or revision</w:t>
      </w:r>
      <w:r>
        <w:t>?</w:t>
      </w:r>
      <w:r w:rsidRPr="007707D3">
        <w:t xml:space="preserve">  </w:t>
      </w:r>
    </w:p>
    <w:p w:rsidR="001A0C12" w:rsidRDefault="001A0C12" w:rsidP="001A0C12">
      <w:pPr>
        <w:pStyle w:val="ListParagraph"/>
        <w:ind w:left="1440"/>
      </w:pPr>
    </w:p>
    <w:p w:rsidR="001A0C12" w:rsidRDefault="00A270A1" w:rsidP="001A0C12">
      <w:pPr>
        <w:pStyle w:val="ListParagraph"/>
        <w:ind w:left="1440"/>
      </w:pPr>
      <w:r>
        <w:t xml:space="preserve">Use the map to ensure </w:t>
      </w:r>
      <w:r w:rsidR="001A0C12" w:rsidRPr="007707D3">
        <w:t>that there is at least one program course or experience offered to mee</w:t>
      </w:r>
      <w:r w:rsidR="005956B2">
        <w:t>t a program-level objective</w:t>
      </w:r>
      <w:r w:rsidR="001A0C12" w:rsidRPr="007707D3">
        <w:t xml:space="preserve">.  </w:t>
      </w:r>
    </w:p>
    <w:p w:rsidR="001A0C12" w:rsidRDefault="001A0C12" w:rsidP="001A0C12">
      <w:pPr>
        <w:pStyle w:val="ListParagraph"/>
        <w:ind w:left="1440"/>
      </w:pPr>
    </w:p>
    <w:p w:rsidR="001A0C12" w:rsidRPr="007707D3" w:rsidRDefault="001A0C12" w:rsidP="001A0C12">
      <w:pPr>
        <w:pStyle w:val="ListParagraph"/>
        <w:numPr>
          <w:ilvl w:val="1"/>
          <w:numId w:val="13"/>
        </w:numPr>
        <w:spacing w:after="200" w:line="276" w:lineRule="auto"/>
      </w:pPr>
      <w:r w:rsidRPr="007707D3">
        <w:rPr>
          <w:b/>
        </w:rPr>
        <w:t>Curriculum Map</w:t>
      </w:r>
      <w:r w:rsidR="003A3EC9">
        <w:rPr>
          <w:b/>
        </w:rPr>
        <w:t xml:space="preserve"> Examples</w:t>
      </w:r>
      <w:r>
        <w:rPr>
          <w:b/>
        </w:rPr>
        <w:t xml:space="preserve">:  </w:t>
      </w:r>
      <w:r>
        <w:rPr>
          <w:b/>
          <w:i/>
        </w:rPr>
        <w:t xml:space="preserve">Note -- </w:t>
      </w:r>
      <w:r w:rsidRPr="007707D3">
        <w:t xml:space="preserve">Instead of X's, </w:t>
      </w:r>
      <w:r>
        <w:t>you can indicate where e</w:t>
      </w:r>
      <w:r w:rsidRPr="007707D3">
        <w:t xml:space="preserve">ach learning outcome is Introduced ("I"), Reinforced ("R") and Mastered ("M"). That way you can track the </w:t>
      </w:r>
      <w:r>
        <w:t xml:space="preserve">progression of student mastery of each </w:t>
      </w:r>
      <w:r w:rsidR="00FE4F2A">
        <w:t xml:space="preserve">objective </w:t>
      </w:r>
      <w:r>
        <w:t>in program-level courses and experiences</w:t>
      </w:r>
      <w:r w:rsidRPr="007707D3">
        <w:t>.</w:t>
      </w:r>
    </w:p>
    <w:p w:rsidR="001A0C12" w:rsidRDefault="001A0C12" w:rsidP="001A0C12">
      <w:pPr>
        <w:pStyle w:val="ListParagraph"/>
        <w:ind w:left="1440"/>
        <w:rPr>
          <w:b/>
        </w:rPr>
      </w:pPr>
    </w:p>
    <w:p w:rsidR="001A0C12" w:rsidRDefault="001A0C12" w:rsidP="001A0C12">
      <w:pPr>
        <w:pStyle w:val="ListParagraph"/>
        <w:ind w:left="1440"/>
        <w:rPr>
          <w:b/>
        </w:rPr>
      </w:pPr>
    </w:p>
    <w:tbl>
      <w:tblPr>
        <w:tblW w:w="4401" w:type="pct"/>
        <w:tblCellSpacing w:w="15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1344"/>
        <w:gridCol w:w="1344"/>
        <w:gridCol w:w="1344"/>
        <w:gridCol w:w="1229"/>
      </w:tblGrid>
      <w:tr w:rsidR="003A3EC9" w:rsidRPr="000F275F" w:rsidTr="001A0C12">
        <w:trPr>
          <w:tblCellSpacing w:w="15" w:type="dxa"/>
        </w:trPr>
        <w:tc>
          <w:tcPr>
            <w:tcW w:w="1858" w:type="pct"/>
            <w:tcBorders>
              <w:right w:val="single" w:sz="4" w:space="0" w:color="auto"/>
            </w:tcBorders>
            <w:vAlign w:val="center"/>
            <w:hideMark/>
          </w:tcPr>
          <w:p w:rsidR="001A0C12" w:rsidRPr="000F275F" w:rsidRDefault="00FE4F2A" w:rsidP="00FE4F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</w:t>
            </w:r>
            <w:r w:rsidR="001A0C12" w:rsidRPr="000F275F">
              <w:rPr>
                <w:rFonts w:eastAsia="Times New Roman"/>
              </w:rPr>
              <w:t xml:space="preserve">Learning </w:t>
            </w:r>
            <w:r>
              <w:rPr>
                <w:rFonts w:eastAsia="Times New Roman"/>
              </w:rPr>
              <w:t>Objectives (S</w:t>
            </w:r>
            <w:r w:rsidR="001A0C12" w:rsidRPr="000F275F">
              <w:rPr>
                <w:rFonts w:eastAsia="Times New Roman"/>
              </w:rPr>
              <w:t>LOs)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  <w:r w:rsidRPr="000F275F">
              <w:rPr>
                <w:rFonts w:eastAsia="Times New Roman"/>
              </w:rPr>
              <w:t>Cou</w:t>
            </w:r>
            <w:r w:rsidR="003A3EC9">
              <w:rPr>
                <w:rFonts w:eastAsia="Times New Roman"/>
              </w:rPr>
              <w:t>rse 101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  <w:r w:rsidRPr="000F275F">
              <w:rPr>
                <w:rFonts w:eastAsia="Times New Roman"/>
              </w:rPr>
              <w:t xml:space="preserve">Course </w:t>
            </w:r>
            <w:r w:rsidR="003A3EC9"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  <w:r w:rsidRPr="000F275F">
              <w:rPr>
                <w:rFonts w:eastAsia="Times New Roman"/>
              </w:rPr>
              <w:t xml:space="preserve">Course </w:t>
            </w:r>
            <w:r w:rsidR="003A3EC9">
              <w:rPr>
                <w:rFonts w:eastAsia="Times New Roman"/>
              </w:rPr>
              <w:t>213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A0C12" w:rsidRPr="000F275F" w:rsidRDefault="003A3EC9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Fieldwork</w:t>
            </w:r>
          </w:p>
        </w:tc>
      </w:tr>
      <w:tr w:rsidR="003A3EC9" w:rsidRPr="000F275F" w:rsidTr="001A0C12">
        <w:trPr>
          <w:tblCellSpacing w:w="15" w:type="dxa"/>
        </w:trPr>
        <w:tc>
          <w:tcPr>
            <w:tcW w:w="1858" w:type="pct"/>
            <w:tcBorders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be able to support their ideas with relevant research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  <w:r w:rsidRPr="000F275F"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  <w:r w:rsidRPr="000F275F"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  <w:r w:rsidRPr="000F275F">
              <w:rPr>
                <w:rFonts w:eastAsia="Times New Roman"/>
              </w:rPr>
              <w:t>X</w:t>
            </w:r>
          </w:p>
        </w:tc>
      </w:tr>
      <w:tr w:rsidR="003A3EC9" w:rsidRPr="000F275F" w:rsidTr="001A0C12">
        <w:trPr>
          <w:tblCellSpacing w:w="15" w:type="dxa"/>
        </w:trPr>
        <w:tc>
          <w:tcPr>
            <w:tcW w:w="1858" w:type="pct"/>
            <w:tcBorders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be able to analyze multiple solutions to a problem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  <w:r w:rsidRPr="000F275F"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  <w:r w:rsidRPr="000F275F"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</w:p>
        </w:tc>
      </w:tr>
      <w:tr w:rsidR="003A3EC9" w:rsidRPr="000F275F" w:rsidTr="001A0C12">
        <w:trPr>
          <w:tblCellSpacing w:w="15" w:type="dxa"/>
        </w:trPr>
        <w:tc>
          <w:tcPr>
            <w:tcW w:w="1858" w:type="pct"/>
            <w:tcBorders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be able to critically evaluate multiple perspectives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  <w:r w:rsidRPr="000F275F"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A0C12" w:rsidRPr="000F275F" w:rsidRDefault="001A0C12" w:rsidP="00E8786C">
            <w:pPr>
              <w:rPr>
                <w:rFonts w:eastAsia="Times New Roman"/>
              </w:rPr>
            </w:pPr>
          </w:p>
        </w:tc>
      </w:tr>
    </w:tbl>
    <w:p w:rsidR="001A0C12" w:rsidRDefault="001A0C12" w:rsidP="00BA0E6F">
      <w:pPr>
        <w:rPr>
          <w:b/>
          <w:bCs/>
        </w:rPr>
      </w:pPr>
    </w:p>
    <w:p w:rsidR="001A0C12" w:rsidRDefault="001A0C12" w:rsidP="00BA0E6F">
      <w:pPr>
        <w:rPr>
          <w:b/>
          <w:bCs/>
        </w:rPr>
      </w:pPr>
    </w:p>
    <w:p w:rsidR="001A0C12" w:rsidRDefault="001A0C12" w:rsidP="00BA0E6F">
      <w:pPr>
        <w:rPr>
          <w:b/>
          <w:bCs/>
        </w:rPr>
      </w:pPr>
    </w:p>
    <w:tbl>
      <w:tblPr>
        <w:tblW w:w="4401" w:type="pct"/>
        <w:tblCellSpacing w:w="15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4"/>
        <w:gridCol w:w="1026"/>
        <w:gridCol w:w="1443"/>
        <w:gridCol w:w="1443"/>
        <w:gridCol w:w="1319"/>
      </w:tblGrid>
      <w:tr w:rsidR="003A3EC9" w:rsidRPr="000F275F" w:rsidTr="003A3EC9">
        <w:trPr>
          <w:tblCellSpacing w:w="15" w:type="dxa"/>
        </w:trPr>
        <w:tc>
          <w:tcPr>
            <w:tcW w:w="1876" w:type="pct"/>
            <w:tcBorders>
              <w:right w:val="single" w:sz="4" w:space="0" w:color="auto"/>
            </w:tcBorders>
            <w:vAlign w:val="center"/>
            <w:hideMark/>
          </w:tcPr>
          <w:p w:rsidR="003A3EC9" w:rsidRPr="000F275F" w:rsidRDefault="00FE4F2A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Learning Outcomes (S</w:t>
            </w:r>
            <w:r w:rsidR="003A3EC9" w:rsidRPr="000F275F">
              <w:rPr>
                <w:rFonts w:eastAsia="Times New Roman"/>
              </w:rPr>
              <w:t>LOs)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  <w:r w:rsidRPr="000F275F">
              <w:rPr>
                <w:rFonts w:eastAsia="Times New Roman"/>
              </w:rPr>
              <w:t>Cou</w:t>
            </w:r>
            <w:r>
              <w:rPr>
                <w:rFonts w:eastAsia="Times New Roman"/>
              </w:rPr>
              <w:t>rse 101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  <w:r w:rsidRPr="000F275F">
              <w:rPr>
                <w:rFonts w:eastAsia="Times New Roman"/>
              </w:rPr>
              <w:t xml:space="preserve">Course </w:t>
            </w: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  <w:r w:rsidRPr="000F275F">
              <w:rPr>
                <w:rFonts w:eastAsia="Times New Roman"/>
              </w:rPr>
              <w:t xml:space="preserve">Course </w:t>
            </w:r>
            <w:r>
              <w:rPr>
                <w:rFonts w:eastAsia="Times New Roman"/>
              </w:rPr>
              <w:t>213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Fieldwork</w:t>
            </w:r>
          </w:p>
        </w:tc>
      </w:tr>
      <w:tr w:rsidR="003A3EC9" w:rsidRPr="000F275F" w:rsidTr="003A3EC9">
        <w:trPr>
          <w:tblCellSpacing w:w="15" w:type="dxa"/>
        </w:trPr>
        <w:tc>
          <w:tcPr>
            <w:tcW w:w="1876" w:type="pct"/>
            <w:tcBorders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1A0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be able to support their ideas with relevant research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</w:tr>
      <w:tr w:rsidR="003A3EC9" w:rsidRPr="000F275F" w:rsidTr="003A3EC9">
        <w:trPr>
          <w:tblCellSpacing w:w="15" w:type="dxa"/>
        </w:trPr>
        <w:tc>
          <w:tcPr>
            <w:tcW w:w="1876" w:type="pct"/>
            <w:tcBorders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be able to analyze multiple solutions to a problem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</w:p>
        </w:tc>
      </w:tr>
      <w:tr w:rsidR="003A3EC9" w:rsidRPr="000F275F" w:rsidTr="003A3EC9">
        <w:trPr>
          <w:tblCellSpacing w:w="15" w:type="dxa"/>
        </w:trPr>
        <w:tc>
          <w:tcPr>
            <w:tcW w:w="1876" w:type="pct"/>
            <w:tcBorders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will be able to critically evaluate multiple perspectives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A3EC9" w:rsidRPr="000F275F" w:rsidRDefault="003A3EC9" w:rsidP="00E8786C">
            <w:pPr>
              <w:rPr>
                <w:rFonts w:eastAsia="Times New Roman"/>
              </w:rPr>
            </w:pPr>
          </w:p>
        </w:tc>
      </w:tr>
    </w:tbl>
    <w:p w:rsidR="001A0C12" w:rsidRDefault="001A0C12" w:rsidP="00BA0E6F">
      <w:pPr>
        <w:rPr>
          <w:b/>
          <w:bCs/>
        </w:rPr>
      </w:pPr>
    </w:p>
    <w:p w:rsidR="001A0C12" w:rsidRDefault="001A0C12" w:rsidP="00BA0E6F">
      <w:pPr>
        <w:rPr>
          <w:b/>
          <w:bCs/>
        </w:rPr>
      </w:pPr>
    </w:p>
    <w:p w:rsidR="00226C28" w:rsidRDefault="0069103B" w:rsidP="003A3EC9">
      <w:pPr>
        <w:rPr>
          <w:bCs/>
          <w:iCs/>
        </w:rPr>
      </w:pPr>
      <w:proofErr w:type="gramStart"/>
      <w:r>
        <w:rPr>
          <w:b/>
          <w:bCs/>
        </w:rPr>
        <w:t>Suggested read</w:t>
      </w:r>
      <w:r w:rsidR="00BA0E6F">
        <w:t>: </w:t>
      </w:r>
      <w:r w:rsidR="00487969">
        <w:rPr>
          <w:b/>
          <w:bCs/>
        </w:rPr>
        <w:t xml:space="preserve"> </w:t>
      </w:r>
      <w:proofErr w:type="spellStart"/>
      <w:r>
        <w:t>Huba</w:t>
      </w:r>
      <w:proofErr w:type="spellEnd"/>
      <w:r>
        <w:t>, M. E. &amp; Freed, J. E. (2000).</w:t>
      </w:r>
      <w:proofErr w:type="gramEnd"/>
      <w:r>
        <w:t xml:space="preserve"> </w:t>
      </w:r>
      <w:proofErr w:type="gramStart"/>
      <w:r>
        <w:t>Learner-Centered Assessment on College Campuses - Shifting the Focus from Teaching to Learning.</w:t>
      </w:r>
      <w:proofErr w:type="gramEnd"/>
      <w:r>
        <w:t xml:space="preserve"> Boston: </w:t>
      </w:r>
      <w:proofErr w:type="spellStart"/>
      <w:r>
        <w:t>Allyn</w:t>
      </w:r>
      <w:proofErr w:type="spellEnd"/>
      <w:r>
        <w:t xml:space="preserve"> and Bacon.</w:t>
      </w:r>
    </w:p>
    <w:p w:rsidR="00226C28" w:rsidRDefault="00226C28" w:rsidP="00BA0E6F">
      <w:pPr>
        <w:rPr>
          <w:bCs/>
          <w:iCs/>
        </w:rPr>
      </w:pPr>
    </w:p>
    <w:p w:rsidR="00A80639" w:rsidRPr="0018211F" w:rsidRDefault="00226C28" w:rsidP="00A80639">
      <w:pPr>
        <w:rPr>
          <w:rFonts w:eastAsia="Times New Roman"/>
        </w:rPr>
      </w:pPr>
      <w:r w:rsidRPr="00226C28">
        <w:rPr>
          <w:b/>
          <w:bCs/>
          <w:iCs/>
        </w:rPr>
        <w:t xml:space="preserve">Please share </w:t>
      </w:r>
      <w:r w:rsidR="00D84D47">
        <w:rPr>
          <w:b/>
          <w:bCs/>
          <w:iCs/>
        </w:rPr>
        <w:t xml:space="preserve">examples of how </w:t>
      </w:r>
      <w:r w:rsidR="00E37F77">
        <w:rPr>
          <w:b/>
          <w:bCs/>
          <w:iCs/>
        </w:rPr>
        <w:t xml:space="preserve">your program is using </w:t>
      </w:r>
      <w:r w:rsidR="0069103B">
        <w:rPr>
          <w:b/>
          <w:bCs/>
          <w:iCs/>
        </w:rPr>
        <w:t>curriculum maps</w:t>
      </w:r>
      <w:r w:rsidR="00E37F77">
        <w:rPr>
          <w:b/>
          <w:bCs/>
          <w:iCs/>
        </w:rPr>
        <w:t xml:space="preserve"> to ensure program-level, student-learning objectives are being met  </w:t>
      </w:r>
      <w:r w:rsidR="00A80639">
        <w:rPr>
          <w:b/>
          <w:bCs/>
          <w:iCs/>
        </w:rPr>
        <w:t xml:space="preserve">:  </w:t>
      </w:r>
      <w:r w:rsidR="00A80639">
        <w:rPr>
          <w:bCs/>
          <w:iCs/>
        </w:rPr>
        <w:t xml:space="preserve">If </w:t>
      </w:r>
      <w:r w:rsidR="00A80639">
        <w:rPr>
          <w:bCs/>
        </w:rPr>
        <w:t xml:space="preserve">you have </w:t>
      </w:r>
      <w:r w:rsidR="00A80639" w:rsidRPr="0018211F">
        <w:rPr>
          <w:rFonts w:eastAsia="Times New Roman"/>
        </w:rPr>
        <w:t xml:space="preserve">examples </w:t>
      </w:r>
      <w:r w:rsidR="00A80639">
        <w:rPr>
          <w:rFonts w:eastAsia="Times New Roman"/>
        </w:rPr>
        <w:t xml:space="preserve">that you would like to share </w:t>
      </w:r>
      <w:r w:rsidR="00A80639" w:rsidRPr="0018211F">
        <w:rPr>
          <w:rFonts w:eastAsia="Times New Roman"/>
        </w:rPr>
        <w:t xml:space="preserve">of how your program </w:t>
      </w:r>
      <w:r w:rsidR="00A80639">
        <w:rPr>
          <w:rFonts w:eastAsia="Times New Roman"/>
        </w:rPr>
        <w:t xml:space="preserve">has been using </w:t>
      </w:r>
      <w:r w:rsidR="00E37F77">
        <w:rPr>
          <w:rFonts w:eastAsia="Times New Roman"/>
        </w:rPr>
        <w:t xml:space="preserve">curriculum maps to design, implement, and verify student-centered curricula </w:t>
      </w:r>
      <w:r w:rsidR="00A80639">
        <w:rPr>
          <w:rFonts w:eastAsia="Times New Roman"/>
        </w:rPr>
        <w:t xml:space="preserve">, please email them to me, and I will feature those examples on </w:t>
      </w:r>
      <w:hyperlink r:id="rId7" w:tgtFrame="_blank" w:history="1">
        <w:r w:rsidR="00A80639">
          <w:rPr>
            <w:rStyle w:val="Hyperlink"/>
          </w:rPr>
          <w:t>YU’s Learning Assessment Website</w:t>
        </w:r>
      </w:hyperlink>
      <w:r w:rsidR="00A80639">
        <w:t>.</w:t>
      </w:r>
    </w:p>
    <w:p w:rsidR="00BA0E6F" w:rsidRPr="00226C28" w:rsidRDefault="00226C28" w:rsidP="00BA0E6F">
      <w:pPr>
        <w:rPr>
          <w:b/>
        </w:rPr>
      </w:pPr>
      <w:r w:rsidRPr="00226C28">
        <w:rPr>
          <w:b/>
          <w:bCs/>
          <w:iCs/>
        </w:rPr>
        <w:br/>
      </w:r>
    </w:p>
    <w:p w:rsidR="005F4E8C" w:rsidRPr="00A80639" w:rsidRDefault="00A80639">
      <w:r>
        <w:rPr>
          <w:b/>
        </w:rPr>
        <w:t xml:space="preserve">Important Reminder:  </w:t>
      </w:r>
      <w:r w:rsidR="00A270A1">
        <w:t xml:space="preserve">Thank you to those of you who have submitted your </w:t>
      </w:r>
      <w:proofErr w:type="gramStart"/>
      <w:r w:rsidR="00A270A1">
        <w:t>Spring</w:t>
      </w:r>
      <w:proofErr w:type="gramEnd"/>
      <w:r w:rsidR="00A270A1">
        <w:t xml:space="preserve"> 2016 Assessment reports.  </w:t>
      </w:r>
      <w:r w:rsidR="00E37F77">
        <w:t xml:space="preserve">If you have </w:t>
      </w:r>
      <w:r w:rsidR="00A270A1">
        <w:t xml:space="preserve">not yet submitted your report, please do so </w:t>
      </w:r>
      <w:r w:rsidR="00E37F77">
        <w:t xml:space="preserve">ASAP.  </w:t>
      </w:r>
      <w:r>
        <w:t>Thank you!</w:t>
      </w:r>
    </w:p>
    <w:sectPr w:rsidR="005F4E8C" w:rsidRPr="00A80639" w:rsidSect="005F4E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B3" w:rsidRDefault="002F6DB3" w:rsidP="00BE78BC">
      <w:r>
        <w:separator/>
      </w:r>
    </w:p>
  </w:endnote>
  <w:endnote w:type="continuationSeparator" w:id="0">
    <w:p w:rsidR="002F6DB3" w:rsidRDefault="002F6DB3" w:rsidP="00BE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B3" w:rsidRDefault="002F6DB3" w:rsidP="00BE78BC">
      <w:r>
        <w:separator/>
      </w:r>
    </w:p>
  </w:footnote>
  <w:footnote w:type="continuationSeparator" w:id="0">
    <w:p w:rsidR="002F6DB3" w:rsidRDefault="002F6DB3" w:rsidP="00BE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BC" w:rsidRDefault="00BE78BC" w:rsidP="00BE78BC">
    <w:pPr>
      <w:pStyle w:val="Header"/>
      <w:jc w:val="center"/>
    </w:pPr>
    <w:r w:rsidRPr="00BE78BC">
      <w:rPr>
        <w:noProof/>
      </w:rPr>
      <w:drawing>
        <wp:inline distT="0" distB="0" distL="0" distR="0">
          <wp:extent cx="2396490" cy="439601"/>
          <wp:effectExtent l="19050" t="0" r="3810" b="0"/>
          <wp:docPr id="2" name="Picture 1" descr="http://www.yu.edu/assets/0/198/2356/2370/2371/33c0e971-f4e1-4686-831a-0dd4b5978d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u.edu/assets/0/198/2356/2370/2371/33c0e971-f4e1-4686-831a-0dd4b5978d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3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8BC" w:rsidRDefault="00BE78BC" w:rsidP="00BE78BC">
    <w:pPr>
      <w:pStyle w:val="Header"/>
      <w:jc w:val="center"/>
    </w:pPr>
  </w:p>
  <w:p w:rsidR="00BE78BC" w:rsidRPr="00BE78BC" w:rsidRDefault="00BE78BC" w:rsidP="00BE78BC">
    <w:pPr>
      <w:pStyle w:val="Header"/>
      <w:jc w:val="center"/>
      <w:rPr>
        <w:sz w:val="28"/>
      </w:rPr>
    </w:pPr>
    <w:r w:rsidRPr="00BE78BC">
      <w:rPr>
        <w:sz w:val="28"/>
      </w:rPr>
      <w:t>YU Assessment Tip of the Month!</w:t>
    </w:r>
  </w:p>
  <w:p w:rsidR="00BE78BC" w:rsidRPr="00BE78BC" w:rsidRDefault="001A0C12" w:rsidP="00BE78BC">
    <w:pPr>
      <w:pStyle w:val="Header"/>
      <w:jc w:val="center"/>
      <w:rPr>
        <w:sz w:val="28"/>
      </w:rPr>
    </w:pPr>
    <w:r>
      <w:rPr>
        <w:sz w:val="28"/>
      </w:rPr>
      <w:t>June</w:t>
    </w:r>
    <w:r w:rsidR="00487969">
      <w:rPr>
        <w:sz w:val="28"/>
      </w:rPr>
      <w:t xml:space="preserve"> </w:t>
    </w:r>
    <w:r w:rsidR="00BE78BC" w:rsidRPr="00BE78BC">
      <w:rPr>
        <w:sz w:val="28"/>
      </w:rPr>
      <w:t>2016</w:t>
    </w:r>
  </w:p>
  <w:p w:rsidR="00BE78BC" w:rsidRDefault="00BE78BC" w:rsidP="00BE78BC">
    <w:pPr>
      <w:pStyle w:val="Header"/>
      <w:jc w:val="center"/>
    </w:pPr>
  </w:p>
  <w:p w:rsidR="00BE78BC" w:rsidRDefault="00BE7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365"/>
    <w:multiLevelType w:val="hybridMultilevel"/>
    <w:tmpl w:val="EFB0B7F2"/>
    <w:lvl w:ilvl="0" w:tplc="2DF2E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65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E9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C3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A1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AE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6C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5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ED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9B2371"/>
    <w:multiLevelType w:val="hybridMultilevel"/>
    <w:tmpl w:val="1C9CE494"/>
    <w:lvl w:ilvl="0" w:tplc="0EF092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66B"/>
    <w:multiLevelType w:val="multilevel"/>
    <w:tmpl w:val="73C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40A4"/>
    <w:multiLevelType w:val="hybridMultilevel"/>
    <w:tmpl w:val="0506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D3199"/>
    <w:multiLevelType w:val="hybridMultilevel"/>
    <w:tmpl w:val="D58A8B18"/>
    <w:lvl w:ilvl="0" w:tplc="9ECC9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64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0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6E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4B3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A8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6E5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05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48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2D0225"/>
    <w:multiLevelType w:val="hybridMultilevel"/>
    <w:tmpl w:val="8AF0BF3A"/>
    <w:lvl w:ilvl="0" w:tplc="DBFCD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CFC196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841EEE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B2156"/>
    <w:multiLevelType w:val="hybridMultilevel"/>
    <w:tmpl w:val="281885B0"/>
    <w:lvl w:ilvl="0" w:tplc="2480C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42D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494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E9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88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CA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2A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45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20728C"/>
    <w:multiLevelType w:val="hybridMultilevel"/>
    <w:tmpl w:val="F838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402941"/>
    <w:multiLevelType w:val="hybridMultilevel"/>
    <w:tmpl w:val="DC309D00"/>
    <w:lvl w:ilvl="0" w:tplc="91363C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48B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2257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AC0E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6E819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78F82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21672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7089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988FA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5C933FDA"/>
    <w:multiLevelType w:val="hybridMultilevel"/>
    <w:tmpl w:val="9C34F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F66EEE"/>
    <w:multiLevelType w:val="hybridMultilevel"/>
    <w:tmpl w:val="D90E94AE"/>
    <w:lvl w:ilvl="0" w:tplc="4A2CE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AEA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E5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61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26A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80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07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9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1261C19"/>
    <w:multiLevelType w:val="hybridMultilevel"/>
    <w:tmpl w:val="345E6C46"/>
    <w:lvl w:ilvl="0" w:tplc="276EE9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0363D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6C0D2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CCE9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8AAB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02C91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BE9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649D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B9C32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FF47FC2"/>
    <w:multiLevelType w:val="hybridMultilevel"/>
    <w:tmpl w:val="EE4A2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BC"/>
    <w:rsid w:val="00022C6F"/>
    <w:rsid w:val="00064B35"/>
    <w:rsid w:val="00125CF6"/>
    <w:rsid w:val="001558E6"/>
    <w:rsid w:val="0018211F"/>
    <w:rsid w:val="001A0C12"/>
    <w:rsid w:val="00226C28"/>
    <w:rsid w:val="002F6DB3"/>
    <w:rsid w:val="003A3EC9"/>
    <w:rsid w:val="00420029"/>
    <w:rsid w:val="00487969"/>
    <w:rsid w:val="004A16B9"/>
    <w:rsid w:val="004B1E00"/>
    <w:rsid w:val="004B52B6"/>
    <w:rsid w:val="004B5E82"/>
    <w:rsid w:val="005554F5"/>
    <w:rsid w:val="005956B2"/>
    <w:rsid w:val="005F4E8C"/>
    <w:rsid w:val="0069103B"/>
    <w:rsid w:val="00814B93"/>
    <w:rsid w:val="009E5364"/>
    <w:rsid w:val="00A270A1"/>
    <w:rsid w:val="00A419E9"/>
    <w:rsid w:val="00A448F0"/>
    <w:rsid w:val="00A80639"/>
    <w:rsid w:val="00AF5DB8"/>
    <w:rsid w:val="00B60626"/>
    <w:rsid w:val="00B91DDF"/>
    <w:rsid w:val="00BA0E6F"/>
    <w:rsid w:val="00BE78BC"/>
    <w:rsid w:val="00CF7913"/>
    <w:rsid w:val="00D26D00"/>
    <w:rsid w:val="00D4378F"/>
    <w:rsid w:val="00D72BE5"/>
    <w:rsid w:val="00D84D47"/>
    <w:rsid w:val="00DE4C16"/>
    <w:rsid w:val="00DF4837"/>
    <w:rsid w:val="00E014A0"/>
    <w:rsid w:val="00E37F77"/>
    <w:rsid w:val="00E813F1"/>
    <w:rsid w:val="00EF6E55"/>
    <w:rsid w:val="00F17344"/>
    <w:rsid w:val="00F74086"/>
    <w:rsid w:val="00FA20BD"/>
    <w:rsid w:val="00FE31A7"/>
    <w:rsid w:val="00F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8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8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0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wa.yu.edu/owa/redir.aspx?C=qfPSe4wRYkKrpT3C8vPq8A7wjn94UtMIlXPnm4uIb63uPB_8kYqY2U_p2t2TYINMonFFOW1vbo0.&amp;URL=http%3a%2f%2fyu.edu%2fprovost%2fassessment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13</cp:revision>
  <dcterms:created xsi:type="dcterms:W3CDTF">2016-03-08T20:22:00Z</dcterms:created>
  <dcterms:modified xsi:type="dcterms:W3CDTF">2016-06-27T14:51:00Z</dcterms:modified>
</cp:coreProperties>
</file>