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C76A" w14:textId="77777777" w:rsidR="00051223" w:rsidRDefault="00051223" w:rsidP="00EE2475">
      <w:pPr>
        <w:rPr>
          <w:rFonts w:ascii="Arial" w:hAnsi="Arial" w:cs="Arial"/>
          <w:b/>
        </w:rPr>
      </w:pPr>
    </w:p>
    <w:p w14:paraId="607E3384" w14:textId="67886743" w:rsidR="00B42790" w:rsidRPr="00051223" w:rsidRDefault="00F76238" w:rsidP="005742DB">
      <w:pPr>
        <w:jc w:val="center"/>
        <w:rPr>
          <w:rFonts w:ascii="Arial" w:hAnsi="Arial" w:cs="Arial"/>
          <w:b/>
        </w:rPr>
      </w:pPr>
      <w:r>
        <w:rPr>
          <w:rFonts w:ascii="Arial" w:hAnsi="Arial" w:cs="Arial"/>
          <w:b/>
        </w:rPr>
        <w:t>August</w:t>
      </w:r>
      <w:r w:rsidR="00E35A15">
        <w:rPr>
          <w:rFonts w:ascii="Arial" w:hAnsi="Arial" w:cs="Arial"/>
          <w:b/>
        </w:rPr>
        <w:t xml:space="preserve"> </w:t>
      </w:r>
      <w:r w:rsidR="005742DB" w:rsidRPr="00051223">
        <w:rPr>
          <w:rFonts w:ascii="Arial" w:hAnsi="Arial" w:cs="Arial"/>
          <w:b/>
        </w:rPr>
        <w:t>20</w:t>
      </w:r>
      <w:r w:rsidR="00E220C2">
        <w:rPr>
          <w:rFonts w:ascii="Arial" w:hAnsi="Arial" w:cs="Arial"/>
          <w:b/>
        </w:rPr>
        <w:t>2</w:t>
      </w:r>
      <w:r w:rsidR="00715884">
        <w:rPr>
          <w:rFonts w:ascii="Arial" w:hAnsi="Arial" w:cs="Arial"/>
          <w:b/>
        </w:rPr>
        <w:t>5*</w:t>
      </w:r>
    </w:p>
    <w:p w14:paraId="06901AE8" w14:textId="5B80E7FD" w:rsidR="00E35A15" w:rsidRDefault="005305BD" w:rsidP="005E733A">
      <w:pPr>
        <w:rPr>
          <w:b/>
          <w:bCs/>
          <w:i/>
          <w:color w:val="000000"/>
          <w:shd w:val="clear" w:color="auto" w:fill="FFFFFF"/>
        </w:rPr>
      </w:pPr>
      <w:r>
        <w:rPr>
          <w:b/>
          <w:bCs/>
          <w:i/>
          <w:color w:val="000000"/>
          <w:shd w:val="clear" w:color="auto" w:fill="FFFFFF"/>
        </w:rPr>
        <w:t xml:space="preserve">Program </w:t>
      </w:r>
      <w:r w:rsidR="00F76238">
        <w:rPr>
          <w:b/>
          <w:bCs/>
          <w:i/>
          <w:color w:val="000000"/>
          <w:shd w:val="clear" w:color="auto" w:fill="FFFFFF"/>
        </w:rPr>
        <w:t>Assessment planning matrix</w:t>
      </w:r>
    </w:p>
    <w:p w14:paraId="19E1B50A" w14:textId="77777777" w:rsidR="00F76238" w:rsidRDefault="00F76238" w:rsidP="005E733A">
      <w:pPr>
        <w:rPr>
          <w:color w:val="000000"/>
          <w:shd w:val="clear" w:color="auto" w:fill="FFFFFF"/>
        </w:rPr>
      </w:pPr>
    </w:p>
    <w:p w14:paraId="5785420B" w14:textId="3936652F" w:rsidR="00F76238" w:rsidRPr="00715884" w:rsidRDefault="00F76238" w:rsidP="00554569">
      <w:r>
        <w:rPr>
          <w:color w:val="000000"/>
          <w:shd w:val="clear" w:color="auto" w:fill="FFFFFF"/>
        </w:rPr>
        <w:t xml:space="preserve">As you begin to prepare for the Fall semester, it is important to plan your program’s student-learning assessment activities.  Please use the assessment planning matrix below to outline your assessment plan for each of your program’s student learning objectives.  The first row contains an </w:t>
      </w:r>
      <w:proofErr w:type="gramStart"/>
      <w:r>
        <w:rPr>
          <w:color w:val="000000"/>
          <w:shd w:val="clear" w:color="auto" w:fill="FFFFFF"/>
        </w:rPr>
        <w:t>exemplar</w:t>
      </w:r>
      <w:proofErr w:type="gramEnd"/>
      <w:r>
        <w:rPr>
          <w:color w:val="000000"/>
          <w:shd w:val="clear" w:color="auto" w:fill="FFFFFF"/>
        </w:rPr>
        <w:t>, and more detailed descriptions for each column are presented below the matrix.</w:t>
      </w:r>
      <w:r w:rsidR="004B292C">
        <w:rPr>
          <w:color w:val="000000"/>
          <w:shd w:val="clear" w:color="auto" w:fill="FFFFFF"/>
        </w:rPr>
        <w:t xml:space="preserve">  </w:t>
      </w:r>
      <w:r w:rsidR="004B292C">
        <w:t xml:space="preserve">Please contact me if you would like to schedule a time to meet over the summer to discuss your program’s assessment plans.  </w:t>
      </w:r>
    </w:p>
    <w:p w14:paraId="11425B3C" w14:textId="77777777" w:rsidR="00F76238" w:rsidRDefault="00F76238" w:rsidP="00F76238"/>
    <w:p w14:paraId="39B2D75A" w14:textId="7C1E41AC" w:rsidR="00F76238" w:rsidRDefault="00F76238" w:rsidP="00F76238">
      <w:r>
        <w:t>*</w:t>
      </w:r>
      <w:r w:rsidR="005F2D7B">
        <w:t>*</w:t>
      </w:r>
      <w:r>
        <w:t>Please see more detailed descriptions for each column at the end of the matrix.</w:t>
      </w:r>
    </w:p>
    <w:tbl>
      <w:tblPr>
        <w:tblStyle w:val="TableGrid"/>
        <w:tblW w:w="5162" w:type="pct"/>
        <w:tblLook w:val="04A0" w:firstRow="1" w:lastRow="0" w:firstColumn="1" w:lastColumn="0" w:noHBand="0" w:noVBand="1"/>
      </w:tblPr>
      <w:tblGrid>
        <w:gridCol w:w="1258"/>
        <w:gridCol w:w="1406"/>
        <w:gridCol w:w="1534"/>
        <w:gridCol w:w="1489"/>
        <w:gridCol w:w="1528"/>
        <w:gridCol w:w="2110"/>
        <w:gridCol w:w="1856"/>
        <w:gridCol w:w="1074"/>
      </w:tblGrid>
      <w:tr w:rsidR="00F76238" w14:paraId="3DD04530" w14:textId="77777777" w:rsidTr="00715884">
        <w:trPr>
          <w:trHeight w:val="1032"/>
        </w:trPr>
        <w:tc>
          <w:tcPr>
            <w:tcW w:w="513" w:type="pct"/>
          </w:tcPr>
          <w:p w14:paraId="1CFC6746" w14:textId="77777777" w:rsidR="00F76238" w:rsidRPr="000D29B9" w:rsidRDefault="00F76238" w:rsidP="00B510A1">
            <w:pPr>
              <w:rPr>
                <w:b/>
                <w:bCs/>
              </w:rPr>
            </w:pPr>
            <w:r>
              <w:rPr>
                <w:b/>
                <w:bCs/>
              </w:rPr>
              <w:t>Objectives</w:t>
            </w:r>
          </w:p>
        </w:tc>
        <w:tc>
          <w:tcPr>
            <w:tcW w:w="574" w:type="pct"/>
          </w:tcPr>
          <w:p w14:paraId="1A129829" w14:textId="77777777" w:rsidR="00F76238" w:rsidRPr="000D29B9" w:rsidRDefault="00F76238" w:rsidP="00B510A1">
            <w:pPr>
              <w:rPr>
                <w:b/>
                <w:bCs/>
              </w:rPr>
            </w:pPr>
            <w:r w:rsidRPr="000D29B9">
              <w:rPr>
                <w:b/>
                <w:bCs/>
              </w:rPr>
              <w:t>Assessmen</w:t>
            </w:r>
            <w:r>
              <w:rPr>
                <w:b/>
                <w:bCs/>
              </w:rPr>
              <w:t>t measures</w:t>
            </w:r>
          </w:p>
        </w:tc>
        <w:tc>
          <w:tcPr>
            <w:tcW w:w="626" w:type="pct"/>
          </w:tcPr>
          <w:p w14:paraId="56642B6B" w14:textId="77777777" w:rsidR="00F76238" w:rsidRPr="000D29B9" w:rsidRDefault="00F76238" w:rsidP="00B510A1">
            <w:pPr>
              <w:rPr>
                <w:b/>
                <w:bCs/>
              </w:rPr>
            </w:pPr>
            <w:r w:rsidRPr="000D29B9">
              <w:rPr>
                <w:b/>
                <w:bCs/>
              </w:rPr>
              <w:t xml:space="preserve">Approximate </w:t>
            </w:r>
            <w:r>
              <w:rPr>
                <w:b/>
                <w:bCs/>
              </w:rPr>
              <w:t xml:space="preserve">sample size </w:t>
            </w:r>
          </w:p>
        </w:tc>
        <w:tc>
          <w:tcPr>
            <w:tcW w:w="608" w:type="pct"/>
          </w:tcPr>
          <w:p w14:paraId="5BE28F7F" w14:textId="77777777" w:rsidR="00F76238" w:rsidRPr="000D29B9" w:rsidRDefault="00F76238" w:rsidP="00B510A1">
            <w:pPr>
              <w:rPr>
                <w:b/>
                <w:bCs/>
              </w:rPr>
            </w:pPr>
            <w:r w:rsidRPr="000D29B9">
              <w:rPr>
                <w:b/>
                <w:bCs/>
              </w:rPr>
              <w:t>Benchmarks</w:t>
            </w:r>
          </w:p>
        </w:tc>
        <w:tc>
          <w:tcPr>
            <w:tcW w:w="623" w:type="pct"/>
          </w:tcPr>
          <w:p w14:paraId="1DA7DCFF" w14:textId="77777777" w:rsidR="00F76238" w:rsidRPr="000D29B9" w:rsidRDefault="00F76238" w:rsidP="00B510A1">
            <w:pPr>
              <w:rPr>
                <w:b/>
                <w:bCs/>
              </w:rPr>
            </w:pPr>
            <w:r w:rsidRPr="000D29B9">
              <w:rPr>
                <w:b/>
                <w:bCs/>
              </w:rPr>
              <w:t>Performance targets</w:t>
            </w:r>
          </w:p>
        </w:tc>
        <w:tc>
          <w:tcPr>
            <w:tcW w:w="861" w:type="pct"/>
          </w:tcPr>
          <w:p w14:paraId="4BD5DEA7" w14:textId="77777777" w:rsidR="00F76238" w:rsidRPr="000D29B9" w:rsidRDefault="00F76238" w:rsidP="00B510A1">
            <w:pPr>
              <w:rPr>
                <w:b/>
                <w:bCs/>
              </w:rPr>
            </w:pPr>
            <w:r w:rsidRPr="000D29B9">
              <w:rPr>
                <w:b/>
                <w:bCs/>
              </w:rPr>
              <w:t>Rubrics/checklists that will be used</w:t>
            </w:r>
          </w:p>
        </w:tc>
        <w:tc>
          <w:tcPr>
            <w:tcW w:w="757" w:type="pct"/>
          </w:tcPr>
          <w:p w14:paraId="66CB9976" w14:textId="77777777" w:rsidR="00F76238" w:rsidRPr="000D29B9" w:rsidRDefault="00F76238" w:rsidP="00B510A1">
            <w:pPr>
              <w:rPr>
                <w:b/>
                <w:bCs/>
              </w:rPr>
            </w:pPr>
            <w:r w:rsidRPr="000D29B9">
              <w:rPr>
                <w:b/>
                <w:bCs/>
              </w:rPr>
              <w:t>Implementation schedule</w:t>
            </w:r>
          </w:p>
        </w:tc>
        <w:tc>
          <w:tcPr>
            <w:tcW w:w="438" w:type="pct"/>
          </w:tcPr>
          <w:p w14:paraId="2BCB3A2E" w14:textId="77777777" w:rsidR="00F76238" w:rsidRDefault="00F76238" w:rsidP="00B510A1">
            <w:pPr>
              <w:rPr>
                <w:b/>
                <w:bCs/>
              </w:rPr>
            </w:pPr>
            <w:r w:rsidRPr="000D29B9">
              <w:rPr>
                <w:b/>
                <w:bCs/>
              </w:rPr>
              <w:t xml:space="preserve">Action plan </w:t>
            </w:r>
          </w:p>
          <w:p w14:paraId="2E83C949" w14:textId="77777777" w:rsidR="00F76238" w:rsidRDefault="00F76238" w:rsidP="00B510A1">
            <w:pPr>
              <w:rPr>
                <w:b/>
                <w:bCs/>
              </w:rPr>
            </w:pPr>
          </w:p>
          <w:p w14:paraId="10CDAF71" w14:textId="77777777" w:rsidR="00F76238" w:rsidRPr="000D29B9" w:rsidRDefault="00F76238" w:rsidP="00B510A1">
            <w:pPr>
              <w:rPr>
                <w:b/>
                <w:bCs/>
              </w:rPr>
            </w:pPr>
          </w:p>
        </w:tc>
      </w:tr>
      <w:tr w:rsidR="00F76238" w14:paraId="06522D4C" w14:textId="77777777" w:rsidTr="00715884">
        <w:trPr>
          <w:trHeight w:val="1032"/>
        </w:trPr>
        <w:tc>
          <w:tcPr>
            <w:tcW w:w="513" w:type="pct"/>
          </w:tcPr>
          <w:p w14:paraId="4652731E" w14:textId="77777777" w:rsidR="00F76238" w:rsidRPr="00715884" w:rsidRDefault="00F76238" w:rsidP="00B510A1"/>
        </w:tc>
        <w:tc>
          <w:tcPr>
            <w:tcW w:w="574" w:type="pct"/>
          </w:tcPr>
          <w:p w14:paraId="3A390F44" w14:textId="769B270F" w:rsidR="00F76238" w:rsidRPr="00715884" w:rsidRDefault="00F76238" w:rsidP="00B510A1"/>
        </w:tc>
        <w:tc>
          <w:tcPr>
            <w:tcW w:w="626" w:type="pct"/>
          </w:tcPr>
          <w:p w14:paraId="5E67AEF4" w14:textId="43D8FE28" w:rsidR="00F76238" w:rsidRPr="00715884" w:rsidRDefault="00F76238" w:rsidP="00B510A1"/>
        </w:tc>
        <w:tc>
          <w:tcPr>
            <w:tcW w:w="608" w:type="pct"/>
          </w:tcPr>
          <w:p w14:paraId="209F4C2B" w14:textId="5CC6708F" w:rsidR="00F76238" w:rsidRPr="00715884" w:rsidRDefault="00F76238" w:rsidP="00B510A1"/>
        </w:tc>
        <w:tc>
          <w:tcPr>
            <w:tcW w:w="623" w:type="pct"/>
          </w:tcPr>
          <w:p w14:paraId="2CD2F80F" w14:textId="633AAB31" w:rsidR="00F76238" w:rsidRPr="00715884" w:rsidRDefault="00F76238" w:rsidP="00B510A1"/>
        </w:tc>
        <w:tc>
          <w:tcPr>
            <w:tcW w:w="861" w:type="pct"/>
          </w:tcPr>
          <w:p w14:paraId="0952F4A8" w14:textId="4C54908F" w:rsidR="00F76238" w:rsidRPr="00715884" w:rsidRDefault="00F76238" w:rsidP="00B510A1"/>
        </w:tc>
        <w:tc>
          <w:tcPr>
            <w:tcW w:w="757" w:type="pct"/>
          </w:tcPr>
          <w:p w14:paraId="2859D2C9" w14:textId="77777777" w:rsidR="00F76238" w:rsidRPr="00715884" w:rsidRDefault="00F76238" w:rsidP="00B510A1"/>
        </w:tc>
        <w:tc>
          <w:tcPr>
            <w:tcW w:w="438" w:type="pct"/>
          </w:tcPr>
          <w:p w14:paraId="18F83D3E" w14:textId="5E610DA0" w:rsidR="00F76238" w:rsidRPr="00715884" w:rsidRDefault="00F76238" w:rsidP="00B510A1"/>
        </w:tc>
      </w:tr>
      <w:tr w:rsidR="00F76238" w14:paraId="202F56D4" w14:textId="77777777" w:rsidTr="00715884">
        <w:trPr>
          <w:trHeight w:val="1032"/>
        </w:trPr>
        <w:tc>
          <w:tcPr>
            <w:tcW w:w="513" w:type="pct"/>
          </w:tcPr>
          <w:p w14:paraId="19A071D0" w14:textId="77777777" w:rsidR="00F76238" w:rsidRDefault="00F76238" w:rsidP="00B510A1"/>
          <w:p w14:paraId="3B3AEAB1" w14:textId="77777777" w:rsidR="00F76238" w:rsidRDefault="00F76238" w:rsidP="00B510A1"/>
          <w:p w14:paraId="5E4A4FA2" w14:textId="77777777" w:rsidR="00F76238" w:rsidRDefault="00F76238" w:rsidP="00B510A1"/>
          <w:p w14:paraId="63DDD0B1" w14:textId="77777777" w:rsidR="00F76238" w:rsidRDefault="00F76238" w:rsidP="00B510A1"/>
        </w:tc>
        <w:tc>
          <w:tcPr>
            <w:tcW w:w="574" w:type="pct"/>
          </w:tcPr>
          <w:p w14:paraId="4F9C0425" w14:textId="77777777" w:rsidR="00F76238" w:rsidRDefault="00F76238" w:rsidP="00B510A1"/>
        </w:tc>
        <w:tc>
          <w:tcPr>
            <w:tcW w:w="626" w:type="pct"/>
          </w:tcPr>
          <w:p w14:paraId="2F57E439" w14:textId="77777777" w:rsidR="00F76238" w:rsidRDefault="00F76238" w:rsidP="00B510A1"/>
        </w:tc>
        <w:tc>
          <w:tcPr>
            <w:tcW w:w="608" w:type="pct"/>
          </w:tcPr>
          <w:p w14:paraId="59DB1DF2" w14:textId="77777777" w:rsidR="00F76238" w:rsidRDefault="00F76238" w:rsidP="00B510A1"/>
        </w:tc>
        <w:tc>
          <w:tcPr>
            <w:tcW w:w="623" w:type="pct"/>
          </w:tcPr>
          <w:p w14:paraId="4618B271" w14:textId="77777777" w:rsidR="00F76238" w:rsidRDefault="00F76238" w:rsidP="00B510A1"/>
        </w:tc>
        <w:tc>
          <w:tcPr>
            <w:tcW w:w="861" w:type="pct"/>
          </w:tcPr>
          <w:p w14:paraId="3C82779C" w14:textId="77777777" w:rsidR="00F76238" w:rsidRDefault="00F76238" w:rsidP="00B510A1"/>
        </w:tc>
        <w:tc>
          <w:tcPr>
            <w:tcW w:w="757" w:type="pct"/>
          </w:tcPr>
          <w:p w14:paraId="74337E59" w14:textId="77777777" w:rsidR="00F76238" w:rsidRDefault="00F76238" w:rsidP="00B510A1"/>
        </w:tc>
        <w:tc>
          <w:tcPr>
            <w:tcW w:w="438" w:type="pct"/>
          </w:tcPr>
          <w:p w14:paraId="76832500" w14:textId="77777777" w:rsidR="00F76238" w:rsidRDefault="00F76238" w:rsidP="00B510A1"/>
        </w:tc>
      </w:tr>
      <w:tr w:rsidR="00F76238" w14:paraId="44F9F18F" w14:textId="77777777" w:rsidTr="00715884">
        <w:trPr>
          <w:trHeight w:val="1032"/>
        </w:trPr>
        <w:tc>
          <w:tcPr>
            <w:tcW w:w="513" w:type="pct"/>
          </w:tcPr>
          <w:p w14:paraId="5322D729" w14:textId="77777777" w:rsidR="00F76238" w:rsidRDefault="00F76238" w:rsidP="00B510A1"/>
          <w:p w14:paraId="7AA5190E" w14:textId="77777777" w:rsidR="00F76238" w:rsidRDefault="00F76238" w:rsidP="00B510A1"/>
          <w:p w14:paraId="2ABF3422" w14:textId="77777777" w:rsidR="00F76238" w:rsidRDefault="00F76238" w:rsidP="00B510A1"/>
          <w:p w14:paraId="043FD48C" w14:textId="77777777" w:rsidR="00F76238" w:rsidRDefault="00F76238" w:rsidP="00B510A1"/>
        </w:tc>
        <w:tc>
          <w:tcPr>
            <w:tcW w:w="574" w:type="pct"/>
          </w:tcPr>
          <w:p w14:paraId="1FC9AA52" w14:textId="77777777" w:rsidR="00F76238" w:rsidRDefault="00F76238" w:rsidP="00B510A1"/>
        </w:tc>
        <w:tc>
          <w:tcPr>
            <w:tcW w:w="626" w:type="pct"/>
          </w:tcPr>
          <w:p w14:paraId="1697CCC1" w14:textId="77777777" w:rsidR="00F76238" w:rsidRDefault="00F76238" w:rsidP="00B510A1"/>
        </w:tc>
        <w:tc>
          <w:tcPr>
            <w:tcW w:w="608" w:type="pct"/>
          </w:tcPr>
          <w:p w14:paraId="5896CE18" w14:textId="77777777" w:rsidR="00F76238" w:rsidRDefault="00F76238" w:rsidP="00B510A1"/>
        </w:tc>
        <w:tc>
          <w:tcPr>
            <w:tcW w:w="623" w:type="pct"/>
          </w:tcPr>
          <w:p w14:paraId="2C6D6196" w14:textId="77777777" w:rsidR="00F76238" w:rsidRDefault="00F76238" w:rsidP="00B510A1"/>
        </w:tc>
        <w:tc>
          <w:tcPr>
            <w:tcW w:w="861" w:type="pct"/>
          </w:tcPr>
          <w:p w14:paraId="7B457C6C" w14:textId="77777777" w:rsidR="00F76238" w:rsidRDefault="00F76238" w:rsidP="00B510A1"/>
        </w:tc>
        <w:tc>
          <w:tcPr>
            <w:tcW w:w="757" w:type="pct"/>
          </w:tcPr>
          <w:p w14:paraId="33C33FA2" w14:textId="77777777" w:rsidR="00F76238" w:rsidRDefault="00F76238" w:rsidP="00B510A1"/>
        </w:tc>
        <w:tc>
          <w:tcPr>
            <w:tcW w:w="438" w:type="pct"/>
          </w:tcPr>
          <w:p w14:paraId="646D0231" w14:textId="77777777" w:rsidR="00F76238" w:rsidRDefault="00F76238" w:rsidP="00B510A1"/>
        </w:tc>
      </w:tr>
      <w:tr w:rsidR="00F76238" w14:paraId="2A6C18A6" w14:textId="77777777" w:rsidTr="00715884">
        <w:trPr>
          <w:trHeight w:val="1032"/>
        </w:trPr>
        <w:tc>
          <w:tcPr>
            <w:tcW w:w="513" w:type="pct"/>
          </w:tcPr>
          <w:p w14:paraId="43B4DA09" w14:textId="77777777" w:rsidR="00F76238" w:rsidRDefault="00F76238" w:rsidP="00B510A1"/>
          <w:p w14:paraId="0C1D5201" w14:textId="77777777" w:rsidR="00F76238" w:rsidRDefault="00F76238" w:rsidP="00B510A1"/>
          <w:p w14:paraId="5BDFB5D2" w14:textId="77777777" w:rsidR="00F76238" w:rsidRDefault="00F76238" w:rsidP="00B510A1"/>
          <w:p w14:paraId="304F21BE" w14:textId="77777777" w:rsidR="00F76238" w:rsidRDefault="00F76238" w:rsidP="00B510A1"/>
        </w:tc>
        <w:tc>
          <w:tcPr>
            <w:tcW w:w="574" w:type="pct"/>
          </w:tcPr>
          <w:p w14:paraId="66CE3171" w14:textId="77777777" w:rsidR="00F76238" w:rsidRDefault="00F76238" w:rsidP="00B510A1"/>
        </w:tc>
        <w:tc>
          <w:tcPr>
            <w:tcW w:w="626" w:type="pct"/>
          </w:tcPr>
          <w:p w14:paraId="0F4B9777" w14:textId="77777777" w:rsidR="00F76238" w:rsidRDefault="00F76238" w:rsidP="00B510A1"/>
        </w:tc>
        <w:tc>
          <w:tcPr>
            <w:tcW w:w="608" w:type="pct"/>
          </w:tcPr>
          <w:p w14:paraId="61FE7AC8" w14:textId="77777777" w:rsidR="00F76238" w:rsidRDefault="00F76238" w:rsidP="00B510A1"/>
        </w:tc>
        <w:tc>
          <w:tcPr>
            <w:tcW w:w="623" w:type="pct"/>
          </w:tcPr>
          <w:p w14:paraId="7AB94097" w14:textId="77777777" w:rsidR="00F76238" w:rsidRDefault="00F76238" w:rsidP="00B510A1"/>
        </w:tc>
        <w:tc>
          <w:tcPr>
            <w:tcW w:w="861" w:type="pct"/>
          </w:tcPr>
          <w:p w14:paraId="2FEFDD50" w14:textId="77777777" w:rsidR="00F76238" w:rsidRDefault="00F76238" w:rsidP="00B510A1"/>
        </w:tc>
        <w:tc>
          <w:tcPr>
            <w:tcW w:w="757" w:type="pct"/>
          </w:tcPr>
          <w:p w14:paraId="200A14AA" w14:textId="77777777" w:rsidR="00F76238" w:rsidRDefault="00F76238" w:rsidP="00B510A1"/>
        </w:tc>
        <w:tc>
          <w:tcPr>
            <w:tcW w:w="438" w:type="pct"/>
          </w:tcPr>
          <w:p w14:paraId="3DC785FD" w14:textId="77777777" w:rsidR="00F76238" w:rsidRDefault="00F76238" w:rsidP="00B510A1"/>
        </w:tc>
      </w:tr>
      <w:tr w:rsidR="00F76238" w14:paraId="4999AC03" w14:textId="77777777" w:rsidTr="00715884">
        <w:trPr>
          <w:trHeight w:val="1032"/>
        </w:trPr>
        <w:tc>
          <w:tcPr>
            <w:tcW w:w="513" w:type="pct"/>
          </w:tcPr>
          <w:p w14:paraId="0FFA54B3" w14:textId="77777777" w:rsidR="00F76238" w:rsidRDefault="00F76238" w:rsidP="00B510A1"/>
          <w:p w14:paraId="119019F1" w14:textId="77777777" w:rsidR="00F76238" w:rsidRDefault="00F76238" w:rsidP="00B510A1"/>
          <w:p w14:paraId="603FEDE4" w14:textId="77777777" w:rsidR="00F76238" w:rsidRDefault="00F76238" w:rsidP="00B510A1"/>
          <w:p w14:paraId="0F963EA4" w14:textId="77777777" w:rsidR="00F76238" w:rsidRDefault="00F76238" w:rsidP="00B510A1"/>
        </w:tc>
        <w:tc>
          <w:tcPr>
            <w:tcW w:w="574" w:type="pct"/>
          </w:tcPr>
          <w:p w14:paraId="11EDC1E5" w14:textId="77777777" w:rsidR="00F76238" w:rsidRDefault="00F76238" w:rsidP="00B510A1"/>
        </w:tc>
        <w:tc>
          <w:tcPr>
            <w:tcW w:w="626" w:type="pct"/>
          </w:tcPr>
          <w:p w14:paraId="69341706" w14:textId="77777777" w:rsidR="00F76238" w:rsidRDefault="00F76238" w:rsidP="00B510A1"/>
        </w:tc>
        <w:tc>
          <w:tcPr>
            <w:tcW w:w="608" w:type="pct"/>
          </w:tcPr>
          <w:p w14:paraId="0E644129" w14:textId="77777777" w:rsidR="00F76238" w:rsidRDefault="00F76238" w:rsidP="00B510A1"/>
        </w:tc>
        <w:tc>
          <w:tcPr>
            <w:tcW w:w="623" w:type="pct"/>
          </w:tcPr>
          <w:p w14:paraId="37247EAA" w14:textId="77777777" w:rsidR="00F76238" w:rsidRDefault="00F76238" w:rsidP="00B510A1"/>
        </w:tc>
        <w:tc>
          <w:tcPr>
            <w:tcW w:w="861" w:type="pct"/>
          </w:tcPr>
          <w:p w14:paraId="0E1BFF27" w14:textId="77777777" w:rsidR="00F76238" w:rsidRDefault="00F76238" w:rsidP="00B510A1"/>
        </w:tc>
        <w:tc>
          <w:tcPr>
            <w:tcW w:w="757" w:type="pct"/>
          </w:tcPr>
          <w:p w14:paraId="631821E7" w14:textId="77777777" w:rsidR="00F76238" w:rsidRDefault="00F76238" w:rsidP="00B510A1"/>
        </w:tc>
        <w:tc>
          <w:tcPr>
            <w:tcW w:w="438" w:type="pct"/>
          </w:tcPr>
          <w:p w14:paraId="2FD9979A" w14:textId="77777777" w:rsidR="00F76238" w:rsidRDefault="00F76238" w:rsidP="00B510A1"/>
        </w:tc>
      </w:tr>
      <w:tr w:rsidR="00F76238" w14:paraId="5011F116" w14:textId="77777777" w:rsidTr="00715884">
        <w:trPr>
          <w:trHeight w:val="1032"/>
        </w:trPr>
        <w:tc>
          <w:tcPr>
            <w:tcW w:w="513" w:type="pct"/>
          </w:tcPr>
          <w:p w14:paraId="2768CA5B" w14:textId="77777777" w:rsidR="00F76238" w:rsidRDefault="00F76238" w:rsidP="00B510A1"/>
          <w:p w14:paraId="7A27C1AC" w14:textId="77777777" w:rsidR="00F76238" w:rsidRDefault="00F76238" w:rsidP="00B510A1"/>
          <w:p w14:paraId="623DE1A9" w14:textId="77777777" w:rsidR="00F76238" w:rsidRDefault="00F76238" w:rsidP="00B510A1"/>
          <w:p w14:paraId="7B070C19" w14:textId="77777777" w:rsidR="00F76238" w:rsidRDefault="00F76238" w:rsidP="00B510A1"/>
        </w:tc>
        <w:tc>
          <w:tcPr>
            <w:tcW w:w="574" w:type="pct"/>
          </w:tcPr>
          <w:p w14:paraId="58681703" w14:textId="77777777" w:rsidR="00F76238" w:rsidRDefault="00F76238" w:rsidP="00B510A1"/>
        </w:tc>
        <w:tc>
          <w:tcPr>
            <w:tcW w:w="626" w:type="pct"/>
          </w:tcPr>
          <w:p w14:paraId="2C47B8B7" w14:textId="77777777" w:rsidR="00F76238" w:rsidRDefault="00F76238" w:rsidP="00B510A1"/>
        </w:tc>
        <w:tc>
          <w:tcPr>
            <w:tcW w:w="608" w:type="pct"/>
          </w:tcPr>
          <w:p w14:paraId="56860A2A" w14:textId="77777777" w:rsidR="00F76238" w:rsidRDefault="00F76238" w:rsidP="00B510A1"/>
        </w:tc>
        <w:tc>
          <w:tcPr>
            <w:tcW w:w="623" w:type="pct"/>
          </w:tcPr>
          <w:p w14:paraId="6F40C43F" w14:textId="77777777" w:rsidR="00F76238" w:rsidRDefault="00F76238" w:rsidP="00B510A1"/>
        </w:tc>
        <w:tc>
          <w:tcPr>
            <w:tcW w:w="861" w:type="pct"/>
          </w:tcPr>
          <w:p w14:paraId="22B5A0AC" w14:textId="77777777" w:rsidR="00F76238" w:rsidRDefault="00F76238" w:rsidP="00B510A1"/>
        </w:tc>
        <w:tc>
          <w:tcPr>
            <w:tcW w:w="757" w:type="pct"/>
          </w:tcPr>
          <w:p w14:paraId="2CE19CA9" w14:textId="77777777" w:rsidR="00F76238" w:rsidRDefault="00F76238" w:rsidP="00B510A1"/>
        </w:tc>
        <w:tc>
          <w:tcPr>
            <w:tcW w:w="438" w:type="pct"/>
          </w:tcPr>
          <w:p w14:paraId="6643BF62" w14:textId="77777777" w:rsidR="00F76238" w:rsidRDefault="00F76238" w:rsidP="00B510A1"/>
        </w:tc>
      </w:tr>
      <w:tr w:rsidR="00F76238" w14:paraId="0EB8AC46" w14:textId="77777777" w:rsidTr="00715884">
        <w:trPr>
          <w:trHeight w:val="1032"/>
        </w:trPr>
        <w:tc>
          <w:tcPr>
            <w:tcW w:w="513" w:type="pct"/>
          </w:tcPr>
          <w:p w14:paraId="5B5AB4B4" w14:textId="77777777" w:rsidR="00F76238" w:rsidRDefault="00F76238" w:rsidP="00B510A1"/>
          <w:p w14:paraId="41D343D1" w14:textId="77777777" w:rsidR="00F76238" w:rsidRDefault="00F76238" w:rsidP="00B510A1"/>
          <w:p w14:paraId="60DD8E61" w14:textId="77777777" w:rsidR="00F76238" w:rsidRDefault="00F76238" w:rsidP="00B510A1"/>
          <w:p w14:paraId="2EABF6D5" w14:textId="77777777" w:rsidR="00F76238" w:rsidRDefault="00F76238" w:rsidP="00B510A1"/>
        </w:tc>
        <w:tc>
          <w:tcPr>
            <w:tcW w:w="574" w:type="pct"/>
          </w:tcPr>
          <w:p w14:paraId="162909D2" w14:textId="77777777" w:rsidR="00F76238" w:rsidRDefault="00F76238" w:rsidP="00B510A1"/>
        </w:tc>
        <w:tc>
          <w:tcPr>
            <w:tcW w:w="626" w:type="pct"/>
          </w:tcPr>
          <w:p w14:paraId="3F6A78DB" w14:textId="77777777" w:rsidR="00F76238" w:rsidRDefault="00F76238" w:rsidP="00B510A1"/>
        </w:tc>
        <w:tc>
          <w:tcPr>
            <w:tcW w:w="608" w:type="pct"/>
          </w:tcPr>
          <w:p w14:paraId="72AB52E8" w14:textId="77777777" w:rsidR="00F76238" w:rsidRDefault="00F76238" w:rsidP="00B510A1"/>
        </w:tc>
        <w:tc>
          <w:tcPr>
            <w:tcW w:w="623" w:type="pct"/>
          </w:tcPr>
          <w:p w14:paraId="319876F5" w14:textId="77777777" w:rsidR="00F76238" w:rsidRDefault="00F76238" w:rsidP="00B510A1"/>
        </w:tc>
        <w:tc>
          <w:tcPr>
            <w:tcW w:w="861" w:type="pct"/>
          </w:tcPr>
          <w:p w14:paraId="41186567" w14:textId="77777777" w:rsidR="00F76238" w:rsidRDefault="00F76238" w:rsidP="00B510A1"/>
        </w:tc>
        <w:tc>
          <w:tcPr>
            <w:tcW w:w="757" w:type="pct"/>
          </w:tcPr>
          <w:p w14:paraId="5FF6F66F" w14:textId="77777777" w:rsidR="00F76238" w:rsidRDefault="00F76238" w:rsidP="00B510A1"/>
        </w:tc>
        <w:tc>
          <w:tcPr>
            <w:tcW w:w="438" w:type="pct"/>
          </w:tcPr>
          <w:p w14:paraId="2058EE3F" w14:textId="77777777" w:rsidR="00F76238" w:rsidRDefault="00F76238" w:rsidP="00B510A1"/>
        </w:tc>
      </w:tr>
      <w:tr w:rsidR="00F76238" w14:paraId="6F3DDEA9" w14:textId="77777777" w:rsidTr="00715884">
        <w:trPr>
          <w:trHeight w:val="1032"/>
        </w:trPr>
        <w:tc>
          <w:tcPr>
            <w:tcW w:w="513" w:type="pct"/>
          </w:tcPr>
          <w:p w14:paraId="5DB5B48C" w14:textId="77777777" w:rsidR="00F76238" w:rsidRDefault="00F76238" w:rsidP="00B510A1"/>
          <w:p w14:paraId="1EDC44C4" w14:textId="77777777" w:rsidR="00F76238" w:rsidRDefault="00F76238" w:rsidP="00B510A1"/>
          <w:p w14:paraId="0346C7E2" w14:textId="77777777" w:rsidR="00F76238" w:rsidRDefault="00F76238" w:rsidP="00B510A1"/>
          <w:p w14:paraId="4D6ED0D0" w14:textId="77777777" w:rsidR="00F76238" w:rsidRDefault="00F76238" w:rsidP="00B510A1"/>
        </w:tc>
        <w:tc>
          <w:tcPr>
            <w:tcW w:w="574" w:type="pct"/>
          </w:tcPr>
          <w:p w14:paraId="2F4D9FBF" w14:textId="77777777" w:rsidR="00F76238" w:rsidRDefault="00F76238" w:rsidP="00B510A1"/>
        </w:tc>
        <w:tc>
          <w:tcPr>
            <w:tcW w:w="626" w:type="pct"/>
          </w:tcPr>
          <w:p w14:paraId="4FF6273F" w14:textId="77777777" w:rsidR="00F76238" w:rsidRDefault="00F76238" w:rsidP="00B510A1"/>
        </w:tc>
        <w:tc>
          <w:tcPr>
            <w:tcW w:w="608" w:type="pct"/>
          </w:tcPr>
          <w:p w14:paraId="314C72F4" w14:textId="77777777" w:rsidR="00F76238" w:rsidRDefault="00F76238" w:rsidP="00B510A1"/>
        </w:tc>
        <w:tc>
          <w:tcPr>
            <w:tcW w:w="623" w:type="pct"/>
          </w:tcPr>
          <w:p w14:paraId="5CE2D707" w14:textId="77777777" w:rsidR="00F76238" w:rsidRDefault="00F76238" w:rsidP="00B510A1"/>
        </w:tc>
        <w:tc>
          <w:tcPr>
            <w:tcW w:w="861" w:type="pct"/>
          </w:tcPr>
          <w:p w14:paraId="055FFFF6" w14:textId="77777777" w:rsidR="00F76238" w:rsidRDefault="00F76238" w:rsidP="00B510A1"/>
        </w:tc>
        <w:tc>
          <w:tcPr>
            <w:tcW w:w="757" w:type="pct"/>
          </w:tcPr>
          <w:p w14:paraId="4EEB40BB" w14:textId="77777777" w:rsidR="00F76238" w:rsidRDefault="00F76238" w:rsidP="00B510A1"/>
        </w:tc>
        <w:tc>
          <w:tcPr>
            <w:tcW w:w="438" w:type="pct"/>
          </w:tcPr>
          <w:p w14:paraId="321F20E6" w14:textId="77777777" w:rsidR="00F76238" w:rsidRDefault="00F76238" w:rsidP="00B510A1"/>
        </w:tc>
      </w:tr>
      <w:tr w:rsidR="00F76238" w14:paraId="7A149D41" w14:textId="77777777" w:rsidTr="00715884">
        <w:trPr>
          <w:trHeight w:val="1032"/>
        </w:trPr>
        <w:tc>
          <w:tcPr>
            <w:tcW w:w="513" w:type="pct"/>
          </w:tcPr>
          <w:p w14:paraId="3393E1B2" w14:textId="77777777" w:rsidR="00F76238" w:rsidRDefault="00F76238" w:rsidP="00B510A1"/>
          <w:p w14:paraId="4B463D82" w14:textId="77777777" w:rsidR="00F76238" w:rsidRDefault="00F76238" w:rsidP="00B510A1"/>
          <w:p w14:paraId="60B287E1" w14:textId="77777777" w:rsidR="00F76238" w:rsidRDefault="00F76238" w:rsidP="00B510A1"/>
          <w:p w14:paraId="3C13B2E8" w14:textId="77777777" w:rsidR="00F76238" w:rsidRDefault="00F76238" w:rsidP="00B510A1"/>
        </w:tc>
        <w:tc>
          <w:tcPr>
            <w:tcW w:w="574" w:type="pct"/>
          </w:tcPr>
          <w:p w14:paraId="5AC344E6" w14:textId="77777777" w:rsidR="00F76238" w:rsidRDefault="00F76238" w:rsidP="00B510A1"/>
        </w:tc>
        <w:tc>
          <w:tcPr>
            <w:tcW w:w="626" w:type="pct"/>
          </w:tcPr>
          <w:p w14:paraId="1037047F" w14:textId="77777777" w:rsidR="00F76238" w:rsidRDefault="00F76238" w:rsidP="00B510A1"/>
        </w:tc>
        <w:tc>
          <w:tcPr>
            <w:tcW w:w="608" w:type="pct"/>
          </w:tcPr>
          <w:p w14:paraId="29B446EB" w14:textId="77777777" w:rsidR="00F76238" w:rsidRDefault="00F76238" w:rsidP="00B510A1"/>
        </w:tc>
        <w:tc>
          <w:tcPr>
            <w:tcW w:w="623" w:type="pct"/>
          </w:tcPr>
          <w:p w14:paraId="0411637E" w14:textId="77777777" w:rsidR="00F76238" w:rsidRDefault="00F76238" w:rsidP="00B510A1"/>
        </w:tc>
        <w:tc>
          <w:tcPr>
            <w:tcW w:w="861" w:type="pct"/>
          </w:tcPr>
          <w:p w14:paraId="2A227C24" w14:textId="77777777" w:rsidR="00F76238" w:rsidRDefault="00F76238" w:rsidP="00B510A1"/>
        </w:tc>
        <w:tc>
          <w:tcPr>
            <w:tcW w:w="757" w:type="pct"/>
          </w:tcPr>
          <w:p w14:paraId="080140BB" w14:textId="77777777" w:rsidR="00F76238" w:rsidRDefault="00F76238" w:rsidP="00B510A1"/>
        </w:tc>
        <w:tc>
          <w:tcPr>
            <w:tcW w:w="438" w:type="pct"/>
          </w:tcPr>
          <w:p w14:paraId="331CFCA2" w14:textId="77777777" w:rsidR="00F76238" w:rsidRDefault="00F76238" w:rsidP="00B510A1"/>
        </w:tc>
      </w:tr>
    </w:tbl>
    <w:p w14:paraId="03E1AE9E" w14:textId="77777777" w:rsidR="00F76238" w:rsidRDefault="00F76238" w:rsidP="00F76238"/>
    <w:p w14:paraId="03F49B60" w14:textId="77777777" w:rsidR="00F76238" w:rsidRDefault="00F76238" w:rsidP="00F76238"/>
    <w:p w14:paraId="59F95949" w14:textId="77777777" w:rsidR="00F76238" w:rsidRDefault="00F76238" w:rsidP="00F76238"/>
    <w:p w14:paraId="04C355C5" w14:textId="77777777" w:rsidR="00715884" w:rsidRDefault="00715884" w:rsidP="00F76238">
      <w:pPr>
        <w:rPr>
          <w:b/>
          <w:bCs/>
        </w:rPr>
      </w:pPr>
    </w:p>
    <w:p w14:paraId="1BA96D4B" w14:textId="77777777" w:rsidR="00715884" w:rsidRDefault="00715884" w:rsidP="00F76238">
      <w:pPr>
        <w:rPr>
          <w:b/>
          <w:bCs/>
        </w:rPr>
      </w:pPr>
    </w:p>
    <w:p w14:paraId="20F49024" w14:textId="77777777" w:rsidR="00715884" w:rsidRDefault="00715884" w:rsidP="00F76238">
      <w:pPr>
        <w:rPr>
          <w:b/>
          <w:bCs/>
        </w:rPr>
      </w:pPr>
    </w:p>
    <w:p w14:paraId="4DE33430" w14:textId="4C8A9AD0" w:rsidR="00F76238" w:rsidRDefault="00F76238" w:rsidP="00F76238">
      <w:r>
        <w:rPr>
          <w:b/>
          <w:bCs/>
        </w:rPr>
        <w:lastRenderedPageBreak/>
        <w:t>Objectives</w:t>
      </w:r>
      <w:r>
        <w:t xml:space="preserve"> –</w:t>
      </w:r>
      <w:r w:rsidR="00715884">
        <w:t>S</w:t>
      </w:r>
      <w:r>
        <w:t>pecific</w:t>
      </w:r>
      <w:r w:rsidR="007E45F9">
        <w:t xml:space="preserve"> and</w:t>
      </w:r>
      <w:r>
        <w:t xml:space="preserve"> directly measurable statements about what you want students in your program to know or be able to do </w:t>
      </w:r>
      <w:proofErr w:type="gramStart"/>
      <w:r>
        <w:t>as a result of</w:t>
      </w:r>
      <w:proofErr w:type="gramEnd"/>
      <w:r>
        <w:t xml:space="preserve"> their program experience.</w:t>
      </w:r>
    </w:p>
    <w:p w14:paraId="7436C3F5" w14:textId="77777777" w:rsidR="00715884" w:rsidRDefault="00715884" w:rsidP="00F76238"/>
    <w:p w14:paraId="2055FA25" w14:textId="6D51F751" w:rsidR="00F76238" w:rsidRDefault="00F76238" w:rsidP="00F76238">
      <w:r>
        <w:rPr>
          <w:b/>
          <w:bCs/>
        </w:rPr>
        <w:t>Assessment measures</w:t>
      </w:r>
      <w:r>
        <w:t xml:space="preserve"> – For each objective please list </w:t>
      </w:r>
      <w:r w:rsidRPr="00F2651E">
        <w:rPr>
          <w:b/>
          <w:bCs/>
          <w:i/>
          <w:iCs/>
        </w:rPr>
        <w:t>at least two direct assessment methods</w:t>
      </w:r>
      <w:r>
        <w:t xml:space="preserve"> that will be used to measure the program-level student learning objective</w:t>
      </w:r>
      <w:r w:rsidR="007E45F9">
        <w:t>s</w:t>
      </w:r>
      <w:r>
        <w:t>.  Direct assessment methods directly measure students</w:t>
      </w:r>
      <w:r w:rsidR="007E45F9">
        <w:t>’</w:t>
      </w:r>
      <w:r>
        <w:t xml:space="preserve"> performance.  Examples include paper assignments, exams, projects, and capstone projects.  Please also list any indirect assessment methods that will be used to measure each program-level student learning objective.  Indirect assessment methods do not gather direct evidence but infer students’ knowledge and abilities based on student and faculty perceptions about students’ learning.  Examples of indirect assessment methods include student and faculty surveys, interviews, focus groups, external reviews, course evaluation questions, and indicators of student engagement.</w:t>
      </w:r>
    </w:p>
    <w:p w14:paraId="6C39AE44" w14:textId="77777777" w:rsidR="005F2D7B" w:rsidRDefault="005F2D7B" w:rsidP="00F76238"/>
    <w:p w14:paraId="1D6A15B7" w14:textId="77777777" w:rsidR="00F76238" w:rsidRDefault="00F76238" w:rsidP="00F76238">
      <w:r w:rsidRPr="00F2651E">
        <w:rPr>
          <w:b/>
          <w:bCs/>
        </w:rPr>
        <w:t>Approximate sample size</w:t>
      </w:r>
      <w:r>
        <w:t xml:space="preserve"> –Identify the approximate sample size that will be assessed with each assessment measure.</w:t>
      </w:r>
    </w:p>
    <w:p w14:paraId="3FF82EF2" w14:textId="77777777" w:rsidR="005F2D7B" w:rsidRDefault="005F2D7B" w:rsidP="00F76238"/>
    <w:p w14:paraId="09CFD0C5" w14:textId="2FCA67A9" w:rsidR="00F76238" w:rsidRDefault="00F76238" w:rsidP="00F76238">
      <w:pPr>
        <w:rPr>
          <w:color w:val="000000"/>
          <w:shd w:val="clear" w:color="auto" w:fill="FFFFFF"/>
        </w:rPr>
      </w:pPr>
      <w:r w:rsidRPr="00F2651E">
        <w:rPr>
          <w:b/>
          <w:bCs/>
        </w:rPr>
        <w:t>Benchmark</w:t>
      </w:r>
      <w:r>
        <w:t xml:space="preserve"> – A benchmark define</w:t>
      </w:r>
      <w:r w:rsidR="005F2D7B">
        <w:t>s</w:t>
      </w:r>
      <w:r>
        <w:t xml:space="preserve"> what constitutes a student’s success in achieving an objective.  </w:t>
      </w:r>
      <w:r>
        <w:rPr>
          <w:color w:val="000000"/>
          <w:shd w:val="clear" w:color="auto" w:fill="FFFFFF"/>
        </w:rPr>
        <w:t xml:space="preserve">For example, a benchmark could be the passing score on a test, or the description of a satisfactory or competent score on a grading rubric.  </w:t>
      </w:r>
    </w:p>
    <w:p w14:paraId="0BC568ED" w14:textId="77777777" w:rsidR="005F2D7B" w:rsidRDefault="005F2D7B" w:rsidP="00F76238">
      <w:pPr>
        <w:rPr>
          <w:color w:val="000000"/>
          <w:shd w:val="clear" w:color="auto" w:fill="FFFFFF"/>
        </w:rPr>
      </w:pPr>
    </w:p>
    <w:p w14:paraId="0488CD64" w14:textId="77777777" w:rsidR="00F76238" w:rsidRDefault="00F76238" w:rsidP="00F76238">
      <w:pPr>
        <w:rPr>
          <w:color w:val="000000"/>
          <w:shd w:val="clear" w:color="auto" w:fill="FFFFFF"/>
        </w:rPr>
      </w:pPr>
      <w:r>
        <w:rPr>
          <w:b/>
          <w:bCs/>
          <w:color w:val="000000"/>
          <w:shd w:val="clear" w:color="auto" w:fill="FFFFFF"/>
        </w:rPr>
        <w:t xml:space="preserve">Performance target </w:t>
      </w:r>
      <w:r>
        <w:rPr>
          <w:color w:val="000000"/>
          <w:shd w:val="clear" w:color="auto" w:fill="FFFFFF"/>
        </w:rPr>
        <w:t xml:space="preserve">– For each objective identify the percentage of students that should achieve each objective. Performance targets determine the program’s success in meeting each objective.  </w:t>
      </w:r>
    </w:p>
    <w:p w14:paraId="3A0A1FE2" w14:textId="77777777" w:rsidR="005F2D7B" w:rsidRDefault="005F2D7B" w:rsidP="00F76238">
      <w:pPr>
        <w:rPr>
          <w:b/>
          <w:bCs/>
        </w:rPr>
      </w:pPr>
    </w:p>
    <w:p w14:paraId="0F3C352C" w14:textId="2F570FE9" w:rsidR="00F76238" w:rsidRDefault="00F76238" w:rsidP="00F76238">
      <w:r>
        <w:rPr>
          <w:b/>
          <w:bCs/>
        </w:rPr>
        <w:t xml:space="preserve">Rubrics/checklists </w:t>
      </w:r>
      <w:r>
        <w:t>–</w:t>
      </w:r>
      <w:r w:rsidRPr="00650335">
        <w:t xml:space="preserve"> </w:t>
      </w:r>
      <w:r>
        <w:t>Rubrics and checklists provide a transparent and objective way of evaluating student’s performance on an assessment.  They are useful for defining benchmarks and enhancing the reliability and validity of grading procedures.  Please attach or paste below the matrix any rubric or checklist that will be used for measuring students’ performance on achieving the objective.</w:t>
      </w:r>
    </w:p>
    <w:p w14:paraId="13D0832C" w14:textId="77777777" w:rsidR="00F76238" w:rsidRPr="00BD7E4E" w:rsidRDefault="00F76238" w:rsidP="00F76238"/>
    <w:p w14:paraId="4144EC93" w14:textId="77777777" w:rsidR="00F76238" w:rsidRDefault="00F76238" w:rsidP="00F76238">
      <w:r>
        <w:rPr>
          <w:b/>
          <w:bCs/>
        </w:rPr>
        <w:t xml:space="preserve">Implementation schedule </w:t>
      </w:r>
      <w:r>
        <w:t>– Please describe the semester and year in which the objective will be assessed, and the specific timeline for administering the assessment and analyzing the results.</w:t>
      </w:r>
    </w:p>
    <w:p w14:paraId="04422C95" w14:textId="7AC719D4" w:rsidR="00B42790" w:rsidRDefault="00F76238" w:rsidP="004B292C">
      <w:r>
        <w:rPr>
          <w:b/>
          <w:bCs/>
        </w:rPr>
        <w:lastRenderedPageBreak/>
        <w:t>Action plan</w:t>
      </w:r>
      <w:r>
        <w:t xml:space="preserve"> – </w:t>
      </w:r>
      <w:r w:rsidRPr="00BD7E4E">
        <w:t xml:space="preserve">Please describe the </w:t>
      </w:r>
      <w:r>
        <w:t xml:space="preserve">program’s </w:t>
      </w:r>
      <w:r w:rsidRPr="00BD7E4E">
        <w:t>plan and tim</w:t>
      </w:r>
      <w:r>
        <w:t>eline</w:t>
      </w:r>
      <w:r w:rsidRPr="00BD7E4E">
        <w:t xml:space="preserve"> for reviewing findings, communicating results, and implementing and assessing program changes over time</w:t>
      </w:r>
      <w:r>
        <w:t>.</w:t>
      </w:r>
    </w:p>
    <w:sectPr w:rsidR="00B42790" w:rsidSect="00F76238">
      <w:headerReference w:type="default" r:id="rId8"/>
      <w:footerReference w:type="default" r:id="rId9"/>
      <w:pgSz w:w="15840" w:h="12240" w:orient="landscape"/>
      <w:pgMar w:top="1800" w:right="2520" w:bottom="1800" w:left="1440" w:header="540" w:footer="18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89C4A" w14:textId="77777777" w:rsidR="00F14EEE" w:rsidRDefault="00F14EEE" w:rsidP="0003540F">
      <w:r>
        <w:separator/>
      </w:r>
    </w:p>
  </w:endnote>
  <w:endnote w:type="continuationSeparator" w:id="0">
    <w:p w14:paraId="64ABE6FC" w14:textId="77777777" w:rsidR="00F14EEE" w:rsidRDefault="00F14EEE" w:rsidP="0003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8B91" w14:textId="46C97D0E" w:rsidR="00B85973" w:rsidRDefault="005F2D7B" w:rsidP="00715884">
    <w:pPr>
      <w:pStyle w:val="Footer"/>
      <w:tabs>
        <w:tab w:val="clear" w:pos="4320"/>
        <w:tab w:val="clear" w:pos="8640"/>
        <w:tab w:val="center" w:pos="4680"/>
        <w:tab w:val="right" w:pos="9360"/>
      </w:tabs>
      <w:rPr>
        <w:rFonts w:ascii="Arial" w:hAnsi="Arial"/>
        <w:b/>
      </w:rPr>
    </w:pPr>
    <w:r>
      <w:t>*Updated from Au</w:t>
    </w:r>
    <w:r w:rsidR="00715884">
      <w:t xml:space="preserve">gust </w:t>
    </w:r>
    <w:r>
      <w:t>2024 Assessment Tip of the Month!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5D49" w14:textId="77777777" w:rsidR="00F14EEE" w:rsidRDefault="00F14EEE" w:rsidP="0003540F">
      <w:r>
        <w:separator/>
      </w:r>
    </w:p>
  </w:footnote>
  <w:footnote w:type="continuationSeparator" w:id="0">
    <w:p w14:paraId="42A217E1" w14:textId="77777777" w:rsidR="00F14EEE" w:rsidRDefault="00F14EEE" w:rsidP="0003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7A51" w14:textId="4E869C6D" w:rsidR="00B85973" w:rsidRDefault="00B85973" w:rsidP="00051223">
    <w:pPr>
      <w:pStyle w:val="Header"/>
      <w:tabs>
        <w:tab w:val="clear" w:pos="4320"/>
        <w:tab w:val="left" w:pos="3260"/>
      </w:tabs>
      <w:jc w:val="center"/>
    </w:pPr>
    <w:r>
      <w:rPr>
        <w:noProof/>
        <w:lang w:eastAsia="en-US"/>
      </w:rPr>
      <w:drawing>
        <wp:anchor distT="0" distB="0" distL="114300" distR="114300" simplePos="0" relativeHeight="251666432" behindDoc="1" locked="0" layoutInCell="1" allowOverlap="1" wp14:anchorId="64F9CC63" wp14:editId="29316D97">
          <wp:simplePos x="0" y="0"/>
          <wp:positionH relativeFrom="margin">
            <wp:align>center</wp:align>
          </wp:positionH>
          <wp:positionV relativeFrom="paragraph">
            <wp:posOffset>-167640</wp:posOffset>
          </wp:positionV>
          <wp:extent cx="4779264" cy="1060704"/>
          <wp:effectExtent l="0" t="0" r="254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_Assessment_Header4.jpg"/>
                  <pic:cNvPicPr/>
                </pic:nvPicPr>
                <pic:blipFill>
                  <a:blip r:embed="rId1">
                    <a:extLst>
                      <a:ext uri="{28A0092B-C50C-407E-A947-70E740481C1C}">
                        <a14:useLocalDpi xmlns:a14="http://schemas.microsoft.com/office/drawing/2010/main" val="0"/>
                      </a:ext>
                    </a:extLst>
                  </a:blip>
                  <a:stretch>
                    <a:fillRect/>
                  </a:stretch>
                </pic:blipFill>
                <pic:spPr>
                  <a:xfrm>
                    <a:off x="0" y="0"/>
                    <a:ext cx="4779264" cy="10607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35D29"/>
    <w:multiLevelType w:val="hybridMultilevel"/>
    <w:tmpl w:val="519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2607E"/>
    <w:multiLevelType w:val="hybridMultilevel"/>
    <w:tmpl w:val="ABC052AA"/>
    <w:lvl w:ilvl="0" w:tplc="93A6C5AA">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C6159F"/>
    <w:multiLevelType w:val="hybridMultilevel"/>
    <w:tmpl w:val="5560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2D0228"/>
    <w:multiLevelType w:val="hybridMultilevel"/>
    <w:tmpl w:val="92184F7E"/>
    <w:lvl w:ilvl="0" w:tplc="08867E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66706">
    <w:abstractNumId w:val="2"/>
  </w:num>
  <w:num w:numId="2" w16cid:durableId="697588137">
    <w:abstractNumId w:val="3"/>
  </w:num>
  <w:num w:numId="3" w16cid:durableId="302004235">
    <w:abstractNumId w:val="0"/>
  </w:num>
  <w:num w:numId="4" w16cid:durableId="1265845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0F"/>
    <w:rsid w:val="0003540F"/>
    <w:rsid w:val="00051223"/>
    <w:rsid w:val="00054E1E"/>
    <w:rsid w:val="00060E03"/>
    <w:rsid w:val="000960A6"/>
    <w:rsid w:val="00096607"/>
    <w:rsid w:val="0018467D"/>
    <w:rsid w:val="002341E0"/>
    <w:rsid w:val="00262AF0"/>
    <w:rsid w:val="002C72E9"/>
    <w:rsid w:val="003376F7"/>
    <w:rsid w:val="00342B31"/>
    <w:rsid w:val="00355266"/>
    <w:rsid w:val="003A2A9F"/>
    <w:rsid w:val="003E79F5"/>
    <w:rsid w:val="003F365E"/>
    <w:rsid w:val="004909E0"/>
    <w:rsid w:val="004A4FD3"/>
    <w:rsid w:val="004B292C"/>
    <w:rsid w:val="005305BD"/>
    <w:rsid w:val="0053075E"/>
    <w:rsid w:val="005442D1"/>
    <w:rsid w:val="00554569"/>
    <w:rsid w:val="0057262D"/>
    <w:rsid w:val="005742DB"/>
    <w:rsid w:val="005825EF"/>
    <w:rsid w:val="005A6AE6"/>
    <w:rsid w:val="005E733A"/>
    <w:rsid w:val="005F2D7B"/>
    <w:rsid w:val="005F7D1A"/>
    <w:rsid w:val="00600ACF"/>
    <w:rsid w:val="006B6DDE"/>
    <w:rsid w:val="006F2F0A"/>
    <w:rsid w:val="00700F53"/>
    <w:rsid w:val="00710796"/>
    <w:rsid w:val="00715884"/>
    <w:rsid w:val="007846F7"/>
    <w:rsid w:val="007B0F52"/>
    <w:rsid w:val="007B666F"/>
    <w:rsid w:val="007E45F9"/>
    <w:rsid w:val="00853E38"/>
    <w:rsid w:val="008E22D3"/>
    <w:rsid w:val="0091471B"/>
    <w:rsid w:val="009B3041"/>
    <w:rsid w:val="009B69BA"/>
    <w:rsid w:val="009C65C2"/>
    <w:rsid w:val="009C7BA7"/>
    <w:rsid w:val="009D34A9"/>
    <w:rsid w:val="009E1A77"/>
    <w:rsid w:val="00A00165"/>
    <w:rsid w:val="00A153F2"/>
    <w:rsid w:val="00AA5BC8"/>
    <w:rsid w:val="00AD28B9"/>
    <w:rsid w:val="00AE3DBE"/>
    <w:rsid w:val="00B111F6"/>
    <w:rsid w:val="00B3117A"/>
    <w:rsid w:val="00B31D23"/>
    <w:rsid w:val="00B42790"/>
    <w:rsid w:val="00B85973"/>
    <w:rsid w:val="00B95614"/>
    <w:rsid w:val="00BC4039"/>
    <w:rsid w:val="00C02B2A"/>
    <w:rsid w:val="00C10087"/>
    <w:rsid w:val="00C234DD"/>
    <w:rsid w:val="00C562F9"/>
    <w:rsid w:val="00C70223"/>
    <w:rsid w:val="00C71A32"/>
    <w:rsid w:val="00CB3792"/>
    <w:rsid w:val="00CC7A33"/>
    <w:rsid w:val="00D06011"/>
    <w:rsid w:val="00D65BF1"/>
    <w:rsid w:val="00DA2B1E"/>
    <w:rsid w:val="00DA2EB0"/>
    <w:rsid w:val="00DB3CC9"/>
    <w:rsid w:val="00DD4C16"/>
    <w:rsid w:val="00E220C2"/>
    <w:rsid w:val="00E22DEB"/>
    <w:rsid w:val="00E35A15"/>
    <w:rsid w:val="00E900DD"/>
    <w:rsid w:val="00E950F0"/>
    <w:rsid w:val="00EE2475"/>
    <w:rsid w:val="00EE4503"/>
    <w:rsid w:val="00F14EEE"/>
    <w:rsid w:val="00F310B3"/>
    <w:rsid w:val="00F76238"/>
    <w:rsid w:val="00F851D6"/>
    <w:rsid w:val="00FB4490"/>
    <w:rsid w:val="00FB5B88"/>
    <w:rsid w:val="00FC2BBB"/>
    <w:rsid w:val="00FD553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09C6549"/>
  <w15:docId w15:val="{9AB996E0-21B0-4361-8A5C-84716973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40F"/>
    <w:pPr>
      <w:tabs>
        <w:tab w:val="center" w:pos="4320"/>
        <w:tab w:val="right" w:pos="8640"/>
      </w:tabs>
    </w:pPr>
  </w:style>
  <w:style w:type="character" w:customStyle="1" w:styleId="HeaderChar">
    <w:name w:val="Header Char"/>
    <w:basedOn w:val="DefaultParagraphFont"/>
    <w:link w:val="Header"/>
    <w:uiPriority w:val="99"/>
    <w:rsid w:val="0003540F"/>
    <w:rPr>
      <w:sz w:val="24"/>
      <w:szCs w:val="24"/>
    </w:rPr>
  </w:style>
  <w:style w:type="paragraph" w:styleId="Footer">
    <w:name w:val="footer"/>
    <w:basedOn w:val="Normal"/>
    <w:link w:val="FooterChar"/>
    <w:uiPriority w:val="99"/>
    <w:unhideWhenUsed/>
    <w:rsid w:val="0003540F"/>
    <w:pPr>
      <w:tabs>
        <w:tab w:val="center" w:pos="4320"/>
        <w:tab w:val="right" w:pos="8640"/>
      </w:tabs>
    </w:pPr>
  </w:style>
  <w:style w:type="character" w:customStyle="1" w:styleId="FooterChar">
    <w:name w:val="Footer Char"/>
    <w:basedOn w:val="DefaultParagraphFont"/>
    <w:link w:val="Footer"/>
    <w:uiPriority w:val="99"/>
    <w:rsid w:val="0003540F"/>
    <w:rPr>
      <w:sz w:val="24"/>
      <w:szCs w:val="24"/>
    </w:rPr>
  </w:style>
  <w:style w:type="paragraph" w:styleId="BalloonText">
    <w:name w:val="Balloon Text"/>
    <w:basedOn w:val="Normal"/>
    <w:link w:val="BalloonTextChar"/>
    <w:uiPriority w:val="99"/>
    <w:semiHidden/>
    <w:unhideWhenUsed/>
    <w:rsid w:val="000354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540F"/>
    <w:rPr>
      <w:rFonts w:ascii="Lucida Grande" w:hAnsi="Lucida Grande" w:cs="Lucida Grande"/>
      <w:sz w:val="18"/>
      <w:szCs w:val="18"/>
    </w:rPr>
  </w:style>
  <w:style w:type="character" w:styleId="Hyperlink">
    <w:name w:val="Hyperlink"/>
    <w:basedOn w:val="DefaultParagraphFont"/>
    <w:uiPriority w:val="99"/>
    <w:unhideWhenUsed/>
    <w:rsid w:val="00B3117A"/>
    <w:rPr>
      <w:color w:val="0000FF" w:themeColor="hyperlink"/>
      <w:u w:val="single"/>
    </w:rPr>
  </w:style>
  <w:style w:type="character" w:styleId="FollowedHyperlink">
    <w:name w:val="FollowedHyperlink"/>
    <w:basedOn w:val="DefaultParagraphFont"/>
    <w:uiPriority w:val="99"/>
    <w:semiHidden/>
    <w:unhideWhenUsed/>
    <w:rsid w:val="009B3041"/>
    <w:rPr>
      <w:color w:val="800080" w:themeColor="followedHyperlink"/>
      <w:u w:val="single"/>
    </w:rPr>
  </w:style>
  <w:style w:type="paragraph" w:styleId="NormalWeb">
    <w:name w:val="Normal (Web)"/>
    <w:basedOn w:val="Normal"/>
    <w:uiPriority w:val="99"/>
    <w:unhideWhenUsed/>
    <w:rsid w:val="00B42790"/>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AE3DBE"/>
    <w:pPr>
      <w:ind w:left="720"/>
      <w:contextualSpacing/>
    </w:pPr>
    <w:rPr>
      <w:rFonts w:ascii="Times New Roman" w:eastAsiaTheme="minorHAnsi" w:hAnsi="Times New Roman" w:cs="Times New Roman"/>
      <w:lang w:eastAsia="en-US"/>
    </w:rPr>
  </w:style>
  <w:style w:type="character" w:styleId="UnresolvedMention">
    <w:name w:val="Unresolved Mention"/>
    <w:basedOn w:val="DefaultParagraphFont"/>
    <w:uiPriority w:val="99"/>
    <w:semiHidden/>
    <w:unhideWhenUsed/>
    <w:rsid w:val="005E733A"/>
    <w:rPr>
      <w:color w:val="605E5C"/>
      <w:shd w:val="clear" w:color="auto" w:fill="E1DFDD"/>
    </w:rPr>
  </w:style>
  <w:style w:type="table" w:styleId="TableGrid">
    <w:name w:val="Table Grid"/>
    <w:basedOn w:val="TableNormal"/>
    <w:uiPriority w:val="59"/>
    <w:rsid w:val="00F76238"/>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3361">
      <w:bodyDiv w:val="1"/>
      <w:marLeft w:val="0"/>
      <w:marRight w:val="0"/>
      <w:marTop w:val="0"/>
      <w:marBottom w:val="0"/>
      <w:divBdr>
        <w:top w:val="none" w:sz="0" w:space="0" w:color="auto"/>
        <w:left w:val="none" w:sz="0" w:space="0" w:color="auto"/>
        <w:bottom w:val="none" w:sz="0" w:space="0" w:color="auto"/>
        <w:right w:val="none" w:sz="0" w:space="0" w:color="auto"/>
      </w:divBdr>
      <w:divsChild>
        <w:div w:id="1877228802">
          <w:marLeft w:val="0"/>
          <w:marRight w:val="0"/>
          <w:marTop w:val="0"/>
          <w:marBottom w:val="0"/>
          <w:divBdr>
            <w:top w:val="none" w:sz="0" w:space="0" w:color="auto"/>
            <w:left w:val="none" w:sz="0" w:space="0" w:color="auto"/>
            <w:bottom w:val="none" w:sz="0" w:space="0" w:color="auto"/>
            <w:right w:val="none" w:sz="0" w:space="0" w:color="auto"/>
          </w:divBdr>
        </w:div>
      </w:divsChild>
    </w:div>
    <w:div w:id="1644653449">
      <w:bodyDiv w:val="1"/>
      <w:marLeft w:val="0"/>
      <w:marRight w:val="0"/>
      <w:marTop w:val="0"/>
      <w:marBottom w:val="0"/>
      <w:divBdr>
        <w:top w:val="none" w:sz="0" w:space="0" w:color="auto"/>
        <w:left w:val="none" w:sz="0" w:space="0" w:color="auto"/>
        <w:bottom w:val="none" w:sz="0" w:space="0" w:color="auto"/>
        <w:right w:val="none" w:sz="0" w:space="0" w:color="auto"/>
      </w:divBdr>
      <w:divsChild>
        <w:div w:id="851258210">
          <w:marLeft w:val="0"/>
          <w:marRight w:val="0"/>
          <w:marTop w:val="0"/>
          <w:marBottom w:val="0"/>
          <w:divBdr>
            <w:top w:val="none" w:sz="0" w:space="0" w:color="auto"/>
            <w:left w:val="none" w:sz="0" w:space="0" w:color="auto"/>
            <w:bottom w:val="none" w:sz="0" w:space="0" w:color="auto"/>
            <w:right w:val="none" w:sz="0" w:space="0" w:color="auto"/>
          </w:divBdr>
        </w:div>
      </w:divsChild>
    </w:div>
    <w:div w:id="2015103711">
      <w:bodyDiv w:val="1"/>
      <w:marLeft w:val="0"/>
      <w:marRight w:val="0"/>
      <w:marTop w:val="0"/>
      <w:marBottom w:val="0"/>
      <w:divBdr>
        <w:top w:val="none" w:sz="0" w:space="0" w:color="auto"/>
        <w:left w:val="none" w:sz="0" w:space="0" w:color="auto"/>
        <w:bottom w:val="none" w:sz="0" w:space="0" w:color="auto"/>
        <w:right w:val="none" w:sz="0" w:space="0" w:color="auto"/>
      </w:divBdr>
      <w:divsChild>
        <w:div w:id="10740067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B2970-092C-4C5E-B9B7-6A187B8A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YU</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Rachel Ebner</cp:lastModifiedBy>
  <cp:revision>19</cp:revision>
  <dcterms:created xsi:type="dcterms:W3CDTF">2019-05-13T16:58:00Z</dcterms:created>
  <dcterms:modified xsi:type="dcterms:W3CDTF">2025-07-29T01:28:00Z</dcterms:modified>
</cp:coreProperties>
</file>